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83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2734"/>
        <w:gridCol w:w="5772"/>
        <w:gridCol w:w="1559"/>
        <w:gridCol w:w="50"/>
        <w:gridCol w:w="25"/>
      </w:tblGrid>
      <w:tr w:rsidR="00B0120E" w:rsidRPr="00244DC5" w:rsidTr="00DF0A16">
        <w:trPr>
          <w:gridAfter w:val="2"/>
          <w:wAfter w:w="75" w:type="dxa"/>
          <w:trHeight w:val="99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="00244DC5" w:rsidRDefault="00B0120E" w:rsidP="00244DC5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44D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Информация о </w:t>
            </w:r>
            <w:r w:rsidR="005F0503" w:rsidRPr="00244D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результатах</w:t>
            </w:r>
            <w:r w:rsidRPr="00244D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проведен</w:t>
            </w:r>
            <w:r w:rsidR="005F0503" w:rsidRPr="00244D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ной</w:t>
            </w:r>
            <w:r w:rsidRPr="00244D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плановой </w:t>
            </w:r>
            <w:r w:rsidR="00F77CB3" w:rsidRPr="00244D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выездной </w:t>
            </w:r>
            <w:r w:rsidRPr="00244DC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проверки</w:t>
            </w:r>
          </w:p>
          <w:p w:rsidR="00891EAD" w:rsidRPr="00244DC5" w:rsidRDefault="00244DC5" w:rsidP="0093139F">
            <w:pPr>
              <w:tabs>
                <w:tab w:val="left" w:pos="93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44DC5">
              <w:rPr>
                <w:rFonts w:ascii="Times New Roman" w:eastAsia="Droid Sans Fallback" w:hAnsi="Times New Roman" w:cs="Times New Roman"/>
                <w:b/>
                <w:kern w:val="1"/>
                <w:sz w:val="26"/>
                <w:szCs w:val="26"/>
                <w:lang w:bidi="hi-IN"/>
              </w:rPr>
              <w:t>Муниципального</w:t>
            </w:r>
            <w:proofErr w:type="gramEnd"/>
            <w:r w:rsidRPr="00244DC5">
              <w:rPr>
                <w:rFonts w:ascii="Times New Roman" w:eastAsia="Droid Sans Fallback" w:hAnsi="Times New Roman" w:cs="Times New Roman"/>
                <w:b/>
                <w:kern w:val="1"/>
                <w:sz w:val="26"/>
                <w:szCs w:val="26"/>
                <w:lang w:bidi="hi-IN"/>
              </w:rPr>
              <w:t xml:space="preserve"> </w:t>
            </w:r>
            <w:r w:rsidR="0093139F">
              <w:rPr>
                <w:rFonts w:ascii="Times New Roman" w:eastAsia="Droid Sans Fallback" w:hAnsi="Times New Roman" w:cs="Times New Roman"/>
                <w:b/>
                <w:kern w:val="1"/>
                <w:sz w:val="26"/>
                <w:szCs w:val="26"/>
                <w:lang w:bidi="hi-IN"/>
              </w:rPr>
              <w:t xml:space="preserve">общеобразовательного </w:t>
            </w:r>
            <w:r w:rsidRPr="00244DC5">
              <w:rPr>
                <w:rFonts w:ascii="Times New Roman" w:eastAsia="Droid Sans Fallback" w:hAnsi="Times New Roman" w:cs="Times New Roman"/>
                <w:b/>
                <w:kern w:val="1"/>
                <w:sz w:val="26"/>
                <w:szCs w:val="26"/>
                <w:lang w:bidi="hi-IN"/>
              </w:rPr>
              <w:t>учреждения</w:t>
            </w:r>
            <w:r w:rsidR="0093139F">
              <w:rPr>
                <w:rFonts w:ascii="Times New Roman" w:eastAsia="Droid Sans Fallback" w:hAnsi="Times New Roman" w:cs="Times New Roman"/>
                <w:b/>
                <w:kern w:val="1"/>
                <w:sz w:val="26"/>
                <w:szCs w:val="26"/>
                <w:lang w:bidi="hi-IN"/>
              </w:rPr>
              <w:t>-средняя общеобразовательная школа «Имена Победы»</w:t>
            </w:r>
          </w:p>
        </w:tc>
      </w:tr>
      <w:tr w:rsidR="00B0120E" w:rsidRPr="00B0120E" w:rsidTr="00DF0A16">
        <w:trPr>
          <w:trHeight w:hRule="exact" w:val="681"/>
        </w:trPr>
        <w:tc>
          <w:tcPr>
            <w:tcW w:w="31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84775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проведении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center"/>
          </w:tcPr>
          <w:p w:rsidR="00B0120E" w:rsidRPr="00E31663" w:rsidRDefault="00B0120E" w:rsidP="0093139F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before="30" w:after="0" w:line="265" w:lineRule="exact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 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6.0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.2025 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021B4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</w:t>
            </w:r>
          </w:p>
        </w:tc>
        <w:tc>
          <w:tcPr>
            <w:tcW w:w="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E27830">
        <w:trPr>
          <w:trHeight w:hRule="exact" w:val="890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7021B4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E31663" w:rsidRDefault="007021B4" w:rsidP="0093139F">
            <w:pPr>
              <w:shd w:val="clear" w:color="auto" w:fill="FFFFFF"/>
              <w:suppressAutoHyphens/>
              <w:spacing w:after="0" w:line="240" w:lineRule="auto"/>
              <w:ind w:left="72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использования субсидий, предоставленных из бюджета городского округа Клин и их отражения в бухгалтерском учете и бухгалтерской (финансовой) отчетности</w:t>
            </w:r>
            <w:r w:rsid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F0A16">
        <w:trPr>
          <w:trHeight w:hRule="exact" w:val="376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проведения</w:t>
            </w:r>
            <w:r w:rsidR="00B9381F"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контрольного мероприятия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CD2BD1" w:rsidRPr="00CD2BD1" w:rsidRDefault="00010A74" w:rsidP="009313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A3138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контрольных мероприятий </w:t>
            </w:r>
            <w:r w:rsidR="000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тдела внутреннего финансового контроля Администрации городского округа Клин </w:t>
            </w:r>
            <w:r w:rsidR="0093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775B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год, утвержденного распоряжением Администрации городского округа Клин от </w:t>
            </w:r>
            <w:r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F13CF7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  <w:r w:rsidR="00891EAD" w:rsidRPr="00CD2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распоряжение Администрации городского округа Клин от 26.03.2025 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110-р «О проведении плановой выездной проверки МОУ - СОШ «Имена Победы»</w:t>
            </w:r>
            <w:r w:rsidR="000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D2BD1" w:rsidRP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распоряжения </w:t>
            </w:r>
            <w:r w:rsid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CD2BD1" w:rsidRP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Администрации городского округа Клин от 16.06.2025 </w:t>
            </w:r>
            <w:r w:rsidR="00CD2BD1" w:rsidRP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en-US" w:eastAsia="zh-CN" w:bidi="hi-IN"/>
              </w:rPr>
              <w:t>N</w:t>
            </w:r>
            <w:r w:rsidR="00CD2BD1" w:rsidRP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>216-р</w:t>
            </w:r>
            <w:r w:rsid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93139F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="00CD2BD1" w:rsidRP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>О продлении срока проведения плановой выездной проверки</w:t>
            </w:r>
            <w:r w:rsidR="0093139F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CD2BD1" w:rsidRP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>МОУ - СОШ «Имена</w:t>
            </w:r>
            <w:proofErr w:type="gramEnd"/>
            <w:r w:rsidR="00CD2BD1" w:rsidRPr="00CD2BD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Победы».</w:t>
            </w:r>
          </w:p>
          <w:p w:rsidR="00B0120E" w:rsidRPr="00E31663" w:rsidRDefault="00B0120E" w:rsidP="0093139F">
            <w:pPr>
              <w:shd w:val="clear" w:color="auto" w:fill="FFFFFF"/>
              <w:suppressAutoHyphens/>
              <w:spacing w:after="0" w:line="240" w:lineRule="auto"/>
              <w:ind w:left="72" w:right="141" w:hanging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051BF0">
        <w:trPr>
          <w:trHeight w:hRule="exact" w:val="2450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E31663" w:rsidRDefault="00B0120E" w:rsidP="0093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051BF0">
        <w:trPr>
          <w:trHeight w:hRule="exact" w:val="71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126B45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контрольного мероприятия</w:t>
            </w:r>
          </w:p>
        </w:tc>
        <w:tc>
          <w:tcPr>
            <w:tcW w:w="7331" w:type="dxa"/>
            <w:gridSpan w:val="2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:rsidR="00B0120E" w:rsidRPr="0042390A" w:rsidRDefault="00CD2BD1" w:rsidP="0093139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r w:rsidR="0093139F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</w:t>
            </w:r>
            <w:r w:rsidR="0093139F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 w:rsidR="0093139F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средняя общеобразовательная школа «</w:t>
            </w:r>
            <w:r w:rsidR="002A3138" w:rsidRPr="00423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Победы»</w:t>
            </w:r>
            <w:r w:rsidR="006F3892" w:rsidRPr="00423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- Учреждение).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F0A16">
        <w:trPr>
          <w:trHeight w:hRule="exact" w:val="15"/>
        </w:trPr>
        <w:tc>
          <w:tcPr>
            <w:tcW w:w="3159" w:type="dxa"/>
            <w:gridSpan w:val="2"/>
            <w:vMerge w:val="restart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4C3A3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</w:t>
            </w:r>
            <w:r w:rsidR="004C3A38"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яемый</w:t>
            </w: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E31663" w:rsidRDefault="00093B28" w:rsidP="0093139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01.0</w:t>
            </w:r>
            <w:r w:rsidR="000F5E11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A2674E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31.</w:t>
            </w:r>
            <w:r w:rsidR="00A2674E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  <w:r w:rsidR="00681DC4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.20</w:t>
            </w:r>
            <w:r w:rsidR="00394E82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  <w:r w:rsidR="009F17DF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ru-RU"/>
              </w:rPr>
            </w:pPr>
          </w:p>
        </w:tc>
      </w:tr>
      <w:tr w:rsidR="00B0120E" w:rsidRPr="00B0120E" w:rsidTr="00DF0A16">
        <w:trPr>
          <w:trHeight w:hRule="exact" w:val="354"/>
        </w:trPr>
        <w:tc>
          <w:tcPr>
            <w:tcW w:w="3159" w:type="dxa"/>
            <w:gridSpan w:val="2"/>
            <w:vMerge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B0120E" w:rsidRPr="00E31663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33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B0120E" w:rsidRPr="00E31663" w:rsidRDefault="00B0120E" w:rsidP="0093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BC3272">
        <w:trPr>
          <w:trHeight w:hRule="exact" w:val="633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B0120E" w:rsidRPr="00E31663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B0120E" w:rsidRPr="00E31663" w:rsidRDefault="00681DC4" w:rsidP="0093139F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before="30" w:after="0" w:line="2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A2674E" w:rsidRPr="00E3166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 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.2025 по 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2A31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A2674E" w:rsidRPr="00E316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.2025 </w:t>
            </w:r>
          </w:p>
        </w:tc>
        <w:tc>
          <w:tcPr>
            <w:tcW w:w="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B0120E" w:rsidTr="00DF0A16">
        <w:trPr>
          <w:gridAfter w:val="2"/>
          <w:wAfter w:w="75" w:type="dxa"/>
          <w:trHeight w:hRule="exact" w:val="5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контрольного мероприятия выявлены следующие нарушения:</w:t>
            </w:r>
          </w:p>
        </w:tc>
      </w:tr>
      <w:tr w:rsidR="00B0120E" w:rsidRPr="00B0120E" w:rsidTr="00DF0A16">
        <w:trPr>
          <w:gridAfter w:val="2"/>
          <w:wAfter w:w="75" w:type="dxa"/>
          <w:trHeight w:hRule="exact"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B0120E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55F91" w:rsidRPr="00B0120E" w:rsidTr="00BC3272">
        <w:trPr>
          <w:gridAfter w:val="2"/>
          <w:wAfter w:w="75" w:type="dxa"/>
          <w:trHeight w:hRule="exact" w:val="7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F91" w:rsidRPr="00B0120E" w:rsidRDefault="00355F91" w:rsidP="00B0120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20E" w:rsidRPr="00B0120E" w:rsidTr="00BC3272">
        <w:trPr>
          <w:gridAfter w:val="1"/>
          <w:wAfter w:w="25" w:type="dxa"/>
          <w:trHeight w:hRule="exact" w:val="615"/>
        </w:trPr>
        <w:tc>
          <w:tcPr>
            <w:tcW w:w="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B0120E" w:rsidRPr="00F57DA8" w:rsidRDefault="00B0120E" w:rsidP="006B7EEF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06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nil"/>
            </w:tcBorders>
            <w:vAlign w:val="center"/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выявленных нарушений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B0120E" w:rsidRPr="00F57DA8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F5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нарушений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20E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D843D1" w:rsidRPr="00B0120E" w:rsidRDefault="00D843D1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0120E" w:rsidRPr="001217BF" w:rsidTr="00051BF0">
        <w:trPr>
          <w:gridAfter w:val="1"/>
          <w:wAfter w:w="25" w:type="dxa"/>
          <w:trHeight w:hRule="exact" w:val="3670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0120E" w:rsidRPr="001217BF" w:rsidRDefault="00B0120E" w:rsidP="00E2783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1BAA" w:rsidRPr="00FD608A" w:rsidRDefault="00051BF0" w:rsidP="00051BF0">
            <w:pPr>
              <w:tabs>
                <w:tab w:val="left" w:pos="424"/>
              </w:tabs>
              <w:spacing w:after="0" w:line="240" w:lineRule="auto"/>
              <w:ind w:left="142" w:right="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111BAA"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нарушение пунктов 27, 30, 34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Клин Московской области и финансовом обеспечении выполнения муниципального задания, утвержденного Постановлением Администрации городского округа Клин от 19.09.2023 N1966 (далее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6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111BAA"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N1966),</w:t>
            </w:r>
            <w:r w:rsidR="00423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BAA"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Учреждением недостоверной отчетности о выполнении муниципального задания по муниципальной услуге «Присмотр и уход» (Уникальный номер реестровой</w:t>
            </w:r>
            <w:proofErr w:type="gramEnd"/>
            <w:r w:rsidR="00111BAA"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записи услуги 853211О.99.0.БВ19АГ08000) в части фактического достижения показателя, характеризующего объем данной услуги, повлекло невыполнение муниципального задания  за 2024 год и как следствие  сумма субсидии на выполнение муниципального задания </w:t>
            </w:r>
            <w:r w:rsidR="00423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не предоставленные услуги </w:t>
            </w:r>
            <w:r w:rsidR="00111BAA"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 возврату в бюджет городского округа Клин.</w:t>
            </w:r>
            <w:r w:rsidR="00D63FAB" w:rsidRPr="00D6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854286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C5C" w:rsidRPr="001217BF" w:rsidTr="00754D59">
        <w:trPr>
          <w:gridAfter w:val="1"/>
          <w:wAfter w:w="25" w:type="dxa"/>
          <w:trHeight w:hRule="exact" w:val="3418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115C5C" w:rsidRPr="001217BF" w:rsidRDefault="00115C5C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7F41" w:rsidRDefault="00111BAA" w:rsidP="00CC7917">
            <w:pPr>
              <w:tabs>
                <w:tab w:val="left" w:pos="424"/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нарушение стат</w:t>
            </w:r>
            <w:r w:rsidR="007F62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ьи</w:t>
            </w:r>
            <w:r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28, пункта 1 статьи 78.1, пункта 13 части 1 статьи 158 Бюджетного кодекса Российской Федерации (далее </w:t>
            </w:r>
            <w:r w:rsidR="007F62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111B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БК РФ), пункта 1 статьи 19 Федерального закона от 06.12.2011 N402-ФЗ «О бухгалтерском учете» (далее - Закон N402-ФЗ),</w:t>
            </w:r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пункта 23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</w:t>
            </w:r>
            <w:proofErr w:type="gramEnd"/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 2016  N256н (далее - СГС N256н), пунктов 2.1, 4.1.6 и 4.3.2 Соглашения о предоставлении субсидии на финансовое обеспечение выполнения муниципального задания на оказание муниципальных услуг (выполнение работ) от 29.12.20</w:t>
            </w:r>
            <w:r w:rsidR="007F622F">
              <w:rPr>
                <w:rFonts w:ascii="Times New Roman" w:eastAsia="Calibri" w:hAnsi="Times New Roman" w:cs="Times New Roman"/>
                <w:sz w:val="24"/>
                <w:szCs w:val="24"/>
              </w:rPr>
              <w:t>23 N10 (далее - Соглашение N10)</w:t>
            </w:r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редакции </w:t>
            </w:r>
            <w:r w:rsidR="007F622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соглашения</w:t>
            </w:r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23.12.2024 </w:t>
            </w:r>
            <w:r w:rsidR="007F6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N10-19) Учреждением </w:t>
            </w:r>
            <w:r w:rsidR="007F6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2024 году </w:t>
            </w:r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субсидии на иные цели произведены расходы </w:t>
            </w:r>
            <w:r w:rsidR="007F622F">
              <w:rPr>
                <w:rFonts w:ascii="Times New Roman" w:eastAsia="Calibri" w:hAnsi="Times New Roman" w:cs="Times New Roman"/>
                <w:sz w:val="24"/>
                <w:szCs w:val="24"/>
              </w:rPr>
              <w:t>горюче-смазочных материалов,</w:t>
            </w:r>
            <w:r w:rsidRPr="0011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несоответствующие целям предоставления данной субсидии.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607F41" w:rsidRDefault="00607F41" w:rsidP="00681083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7F41" w:rsidRDefault="00607F41" w:rsidP="00681083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07F41" w:rsidRDefault="00607F41" w:rsidP="00681083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15C5C" w:rsidRPr="00681083" w:rsidRDefault="00115C5C" w:rsidP="00681083">
            <w:pPr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5C5C" w:rsidRDefault="00854286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5C5C" w:rsidRPr="001217BF" w:rsidRDefault="00115C5C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BE0" w:rsidRPr="001217BF" w:rsidTr="00754D59">
        <w:trPr>
          <w:gridAfter w:val="1"/>
          <w:wAfter w:w="25" w:type="dxa"/>
          <w:trHeight w:hRule="exact" w:val="2277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BA5BE0" w:rsidRPr="001217BF" w:rsidRDefault="00391A05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BA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5BE0" w:rsidRPr="00681083" w:rsidRDefault="00835EC9" w:rsidP="00051BF0">
            <w:pPr>
              <w:tabs>
                <w:tab w:val="left" w:pos="424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нарушение пункта 1 статьи 78.1 БК РФ, пункта 26 Порядка N1966, подпунктов 4.3.1 и 4.3.7 пункта </w:t>
            </w:r>
            <w:r w:rsidRPr="0066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 Соглашения N10,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статьи 129 Трудового Кодекса Российской Федерации, подпунктов 10, 13 пункта 2.1.2. Положения об установлении доплат компенсационного характера в МОУ-СОШ «Имена Победы» от 10.10.2023  N76-2</w:t>
            </w:r>
            <w:proofErr w:type="gramStart"/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</w:t>
            </w:r>
            <w:proofErr w:type="gramEnd"/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Учреждением в 2024 году работникам Учреждения излишне начислены и выплачены доп</w:t>
            </w:r>
            <w:r w:rsidR="007F6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латы компенсационного характера 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 на финансовое обеспечение выполнения муниципального задания на оказание муниципальных услуг (выполнение работ), не связанные с его выполнением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A5BE0" w:rsidRDefault="00854286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BE0" w:rsidRPr="001217BF" w:rsidRDefault="00BA5BE0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ADA" w:rsidRPr="001217BF" w:rsidTr="00390CBA">
        <w:trPr>
          <w:gridAfter w:val="1"/>
          <w:wAfter w:w="25" w:type="dxa"/>
          <w:trHeight w:hRule="exact" w:val="995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4D4ADA" w:rsidRDefault="004D4AD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0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4ADA" w:rsidRPr="00B744E9" w:rsidRDefault="00835EC9" w:rsidP="007F622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нарушение пункта 1 статьи 78.1 БК РФ Учреждением за счет средств субсидии на иные цели оплачены завышенные (невыполненные) объемы работ по муниципальному </w:t>
            </w:r>
            <w:r w:rsidR="007F6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онтракту N0848300054824000155, что привело к нанесению ущерба бюджету городского округа Клин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D4ADA" w:rsidRDefault="00854286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4ADA" w:rsidRPr="001217BF" w:rsidRDefault="004D4ADA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ADA" w:rsidRPr="001217BF" w:rsidTr="00754D59">
        <w:trPr>
          <w:gridAfter w:val="1"/>
          <w:wAfter w:w="25" w:type="dxa"/>
          <w:trHeight w:hRule="exact" w:val="1277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4D4ADA" w:rsidRDefault="004D4ADA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0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4ADA" w:rsidRPr="004D4ADA" w:rsidRDefault="00835EC9" w:rsidP="00A006BF">
            <w:pPr>
              <w:tabs>
                <w:tab w:val="left" w:pos="438"/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нарушение пункта 1 статьи 19 Закона N402-ФЗ, пункта 36 СГС </w:t>
            </w:r>
            <w:r w:rsidR="00A3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A3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256н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2024 году на балансе учреждения учитывались три объекта основных средств (</w:t>
            </w:r>
            <w:r w:rsidR="0055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рактора МТЗ-80, сарай и хоз</w:t>
            </w:r>
            <w:r w:rsidR="0055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яйственный 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неиспользуемые в течени</w:t>
            </w:r>
            <w:proofErr w:type="gramStart"/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длительного времени из-за отсутствия экономических выгод и полезного потенциала от дальнейшего применения.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4D4ADA" w:rsidRDefault="00854286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4ADA" w:rsidRPr="001217BF" w:rsidRDefault="004D4ADA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F3" w:rsidRPr="001217BF" w:rsidTr="00E27830">
        <w:trPr>
          <w:gridAfter w:val="1"/>
          <w:wAfter w:w="25" w:type="dxa"/>
          <w:trHeight w:hRule="exact" w:val="3413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7C21F3" w:rsidRDefault="000776BF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C2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C21F3" w:rsidRPr="00A373CD" w:rsidRDefault="00835EC9" w:rsidP="00551BE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нарушение требований, установленных пунктами 1,2 статьи 10 Закона N402-ФЗ, пункта 21 </w:t>
            </w:r>
            <w:r w:rsidR="006610C8" w:rsidRPr="006610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25.03.2011  N33н (далее </w:t>
            </w:r>
            <w:r w:rsidR="00551B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6610C8" w:rsidRPr="006610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Инструкция N33н)</w:t>
            </w:r>
            <w:r w:rsidR="006610C8" w:rsidRPr="006610C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6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пунктом 351 Инструкции  по применению Единого плана счетов бухгалтерского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</w:t>
            </w:r>
            <w:proofErr w:type="gramEnd"/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фондами, государственных академий наук, государственных (муниципальных) учреждений, утвержденной </w:t>
            </w:r>
            <w:r w:rsidR="00F6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риказом Минфина России от 01.12.2010 N157н  (далее - Инструкция N157н), </w:t>
            </w:r>
            <w:r w:rsidRPr="0055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независимые гарантии</w:t>
            </w:r>
            <w:r w:rsidR="0055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5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полученные в целях обеспечения исполнения 3 (трех) муниципальных контрактов, в 2024 году не отражались на </w:t>
            </w:r>
            <w:proofErr w:type="spellStart"/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забалансовом</w:t>
            </w:r>
            <w:proofErr w:type="spellEnd"/>
            <w:r w:rsidRPr="0083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счете 10 «Обеспечение исполнения обязательств».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7C21F3" w:rsidRDefault="00854286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21F3" w:rsidRPr="001217BF" w:rsidRDefault="007C21F3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97" w:rsidRPr="001217BF" w:rsidTr="00390CBA">
        <w:trPr>
          <w:gridAfter w:val="1"/>
          <w:wAfter w:w="25" w:type="dxa"/>
          <w:trHeight w:hRule="exact" w:val="3954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F0F97" w:rsidRPr="001217BF" w:rsidRDefault="000776BF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B0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F0F97" w:rsidRPr="00B34089" w:rsidRDefault="00AF34EF" w:rsidP="00551BE4">
            <w:pPr>
              <w:spacing w:after="0" w:line="240" w:lineRule="exact"/>
              <w:ind w:left="113" w:right="125"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нарушение пунктов 37, 53 Инструкции  N157н, пункта 1 статьи 13 Закона N402-ФЗ, пункта 68 </w:t>
            </w:r>
            <w:r w:rsidRPr="00AF3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Инструкции N33н</w:t>
            </w:r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>, пунктов 3,</w:t>
            </w:r>
            <w:r w:rsidR="00551B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Постановления Администрации Клинского муниципального района от 30.09.2011 N2096 «Об утверждении порядка определения видов имущества, относящегося к особо ценному движимому имуществу муниципальных бюджетных и муниципальных автономных учреждений Клинского муниципального района (с изменениями, утвержденными постановлением Администрации Клинского муниципального района от 12.10.2011 N2207</w:t>
            </w:r>
            <w:proofErr w:type="gramEnd"/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gramStart"/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постановлением Администрации городского округа Клин от 30.11.2023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N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2614) (далее - Порядок N2096)</w:t>
            </w:r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>, пункта 20 Приказа Минфина России от 10.10.2023 N163н «Об утверждении Порядка ведения органами местного самоуправления реестров муниципального имущества» (далее - Порядок N163н), в результате бездействия должностных лиц Учреждения объект движимого имущества (</w:t>
            </w:r>
            <w:proofErr w:type="spellStart"/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 автоматический дымовой) в 2024 году учитывались на счете 101.34«</w:t>
            </w:r>
            <w:r w:rsidRPr="00AF3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Машины и оборудование - иное движимое имущество учреждения»</w:t>
            </w:r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вместо</w:t>
            </w:r>
            <w:proofErr w:type="gramEnd"/>
            <w:r w:rsidRPr="00AF34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счета 101.20 «</w:t>
            </w:r>
            <w:r w:rsidRPr="00AF34E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средства - особо ценное движимое имущество учреждения».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F0F97" w:rsidRPr="001217BF" w:rsidRDefault="00854286" w:rsidP="00E501DF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F97" w:rsidRPr="001217BF" w:rsidRDefault="00EF0F9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687" w:rsidRPr="001217BF" w:rsidTr="00754D59">
        <w:trPr>
          <w:gridAfter w:val="1"/>
          <w:wAfter w:w="25" w:type="dxa"/>
          <w:trHeight w:hRule="exact" w:val="2970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E97687" w:rsidRDefault="000776BF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97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34EF" w:rsidRPr="00AF34EF" w:rsidRDefault="00AF34EF" w:rsidP="00AF34EF">
            <w:pPr>
              <w:spacing w:after="0" w:line="240" w:lineRule="exact"/>
              <w:ind w:left="113" w:right="127" w:firstLine="31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нарушение пунктов 27,</w:t>
            </w:r>
            <w:r w:rsidR="00A00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</w:t>
            </w:r>
            <w:r w:rsidR="00A00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34 Порядка N1966 не соблюдены требования к формированию и представлению отчетов о выполнении муниципального задания за 2024 год, а именно: </w:t>
            </w:r>
          </w:p>
          <w:p w:rsidR="00AF34EF" w:rsidRPr="00AF34EF" w:rsidRDefault="00A006BF" w:rsidP="00AF34EF">
            <w:pPr>
              <w:spacing w:after="0" w:line="240" w:lineRule="exact"/>
              <w:ind w:left="113" w:right="127" w:firstLine="31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 </w:t>
            </w:r>
            <w:r w:rsidR="00AF34EF"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отчеты о выполнении муниципального задания за 2024 год (форма согласно Приложению N5 к Порядку N1966) формировались Учреждением с нарушением сроков от 1 до 5 дней, установленных муниципальным заданием для их представления (за 1 квартал с нарушением срока на 4 дня, за 2 квартал</w:t>
            </w:r>
            <w:r w:rsidR="00754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AF34EF"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1 день, за 3 квартал</w:t>
            </w:r>
            <w:r w:rsidR="00754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AF34EF"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5 дней, </w:t>
            </w:r>
            <w:r w:rsidR="00754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r w:rsidR="00AF34EF"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год - на 1 день);</w:t>
            </w:r>
            <w:proofErr w:type="gramEnd"/>
          </w:p>
          <w:p w:rsidR="00E97687" w:rsidRPr="00B34089" w:rsidRDefault="00AF34EF" w:rsidP="00AF34EF">
            <w:pPr>
              <w:spacing w:after="0" w:line="240" w:lineRule="exact"/>
              <w:ind w:left="113" w:right="127" w:firstLine="31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предварительный отчет о выполнении муниципального задания в 2024 году Учреждением не составлялся и соответственно Учредителю в срок, установленный муниципальным заданием (до 15 декабря о</w:t>
            </w:r>
            <w:r w:rsidR="00754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тчетного года) не представлялся.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E97687" w:rsidRDefault="00854286" w:rsidP="00C12746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7687" w:rsidRPr="001217BF" w:rsidRDefault="00E97687" w:rsidP="00E501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3D1" w:rsidRPr="001217BF" w:rsidTr="00E27830">
        <w:trPr>
          <w:gridAfter w:val="1"/>
          <w:wAfter w:w="25" w:type="dxa"/>
          <w:trHeight w:hRule="exact" w:val="7246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D843D1" w:rsidRDefault="000F5BDE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D843D1" w:rsidRPr="00D8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34EF" w:rsidRPr="00AF34EF" w:rsidRDefault="00AF34EF" w:rsidP="00CC7917">
            <w:pPr>
              <w:widowControl w:val="0"/>
              <w:tabs>
                <w:tab w:val="left" w:pos="397"/>
              </w:tabs>
              <w:spacing w:after="0" w:line="240" w:lineRule="auto"/>
              <w:ind w:left="127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нарушение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пункта 3 статьи 69.2 БК РФ,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подпункта 9 пункта 1 статьи 158 БК РФ, пунктов 6,</w:t>
            </w:r>
            <w:r w:rsidR="00275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Порядка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1966:</w:t>
            </w:r>
          </w:p>
          <w:p w:rsidR="00AF34EF" w:rsidRPr="00AF34EF" w:rsidRDefault="00AF34EF" w:rsidP="00CC7917">
            <w:pPr>
              <w:widowControl w:val="0"/>
              <w:spacing w:after="0" w:line="240" w:lineRule="auto"/>
              <w:ind w:left="127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-муниципальное задание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N011.1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Учреждению сформировано и утверждено Учредителем не по форме, утвержденной </w:t>
            </w:r>
            <w:r w:rsidRPr="00AF34EF">
              <w:rPr>
                <w:rFonts w:ascii="Times New Roman" w:hAnsi="Times New Roman"/>
                <w:sz w:val="24"/>
                <w:szCs w:val="24"/>
              </w:rPr>
              <w:t xml:space="preserve">приложением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AF34EF">
              <w:rPr>
                <w:rFonts w:ascii="Times New Roman" w:hAnsi="Times New Roman"/>
                <w:sz w:val="24"/>
                <w:szCs w:val="24"/>
              </w:rPr>
              <w:t>2 к Порядку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</w:t>
            </w:r>
            <w:r w:rsidRPr="00AF34EF">
              <w:rPr>
                <w:rFonts w:ascii="Times New Roman" w:hAnsi="Times New Roman"/>
                <w:sz w:val="24"/>
                <w:szCs w:val="24"/>
              </w:rPr>
              <w:t xml:space="preserve"> а именно в данном муниципальном задании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каждого раздела отсутствуют</w:t>
            </w:r>
            <w:r w:rsidRPr="00AF34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«Показатели, характеризующие стоимость муниципальной услуги» (пункт 3.3 </w:t>
            </w:r>
            <w:r w:rsidRPr="00AF34EF">
              <w:rPr>
                <w:rFonts w:ascii="Times New Roman" w:hAnsi="Times New Roman"/>
                <w:sz w:val="24"/>
                <w:szCs w:val="24"/>
              </w:rPr>
              <w:t>утвержденной формы муниципального задания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); в части </w:t>
            </w:r>
            <w:r w:rsidRPr="00AF34EF">
              <w:rPr>
                <w:rFonts w:ascii="Times New Roman" w:hAnsi="Times New Roman"/>
                <w:sz w:val="24"/>
                <w:szCs w:val="24"/>
              </w:rPr>
              <w:t>3 «Сводная информация по муниципальному заданию»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о финансовом обеспечении выполнения муниципального задания (графы с 10 по 15  утвержденной</w:t>
            </w:r>
            <w:r w:rsidRPr="00AF34EF">
              <w:rPr>
                <w:rFonts w:ascii="Times New Roman" w:hAnsi="Times New Roman"/>
                <w:sz w:val="24"/>
                <w:szCs w:val="24"/>
              </w:rPr>
              <w:t xml:space="preserve"> формы муниципального задания)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F34EF" w:rsidRPr="00AF34EF" w:rsidRDefault="00AF34EF" w:rsidP="00CC7917">
            <w:pPr>
              <w:widowControl w:val="0"/>
              <w:spacing w:after="0" w:line="240" w:lineRule="auto"/>
              <w:ind w:left="127" w:firstLine="709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показатели качества по муниципальным услугам, оказываемым Учреждением, утверждены приказом Управления образования от 15.01.2024 </w:t>
            </w:r>
            <w:r w:rsidR="00275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N5-6</w:t>
            </w:r>
            <w:proofErr w:type="gramStart"/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/О</w:t>
            </w:r>
            <w:proofErr w:type="gramEnd"/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позже даты утверждения муниципального задания </w:t>
            </w: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N011.1 (31.12.2023) на 15 дней; без указания в графе 8 «Источник информации о значениях показателей качества муниципальной услуги (работы)» конкретных видов и форм внутренней учетной документации, ежегодной федеральной формы статистической отчетности; </w:t>
            </w:r>
          </w:p>
          <w:p w:rsidR="00AF34EF" w:rsidRPr="00AF34EF" w:rsidRDefault="00AF34EF" w:rsidP="00CC7917">
            <w:pPr>
              <w:widowControl w:val="0"/>
              <w:spacing w:after="0" w:line="240" w:lineRule="auto"/>
              <w:ind w:left="127" w:firstLine="709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F34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допустимые (возможные) отклонения от установленных показателей качества и объема муниципальных услуг, в пределах которых муниципальное задание считается выполненным, в муниципальном задании N011.8 установлены по каждой муниципальной услуге по показателям качества и объема и в процентах (5%) и в абсолютных величинах, что не соответствует пункту 1 приказа Управления образования от 26.10.2024 N181-4/О «Об установлении размера допустимых (возможных) отклонений в муниципальных заданиях», утвердивший допустимые (возможные) отклонения от установленных показателей качества и объема муниципальных услуг в размере 5%.</w:t>
            </w:r>
          </w:p>
          <w:p w:rsidR="00D843D1" w:rsidRPr="00AF34EF" w:rsidRDefault="00D843D1" w:rsidP="0027543E">
            <w:pPr>
              <w:pStyle w:val="aa"/>
              <w:spacing w:after="0" w:line="240" w:lineRule="auto"/>
              <w:ind w:left="0" w:firstLine="70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843D1" w:rsidRPr="00AF34EF" w:rsidRDefault="00F240D8" w:rsidP="0027543E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843D1" w:rsidRPr="001217BF" w:rsidRDefault="00D843D1" w:rsidP="0027543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3D1" w:rsidRPr="001217BF" w:rsidTr="0027543E">
        <w:trPr>
          <w:gridAfter w:val="1"/>
          <w:wAfter w:w="25" w:type="dxa"/>
          <w:trHeight w:hRule="exact" w:val="2852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D843D1" w:rsidRDefault="00DF0A1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843D1" w:rsidRPr="00D8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843D1" w:rsidRPr="00CF05C4" w:rsidRDefault="0027543E" w:rsidP="0027543E">
            <w:pPr>
              <w:spacing w:after="0" w:line="240" w:lineRule="auto"/>
              <w:ind w:left="113" w:right="125" w:firstLine="3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CF05C4" w:rsidRPr="00CF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нарушение подпункта 9 пункта 1 статьи 158 БК РФ, пункта 4 статьи 69.2 БК РФ, пунктов 7, 25 Порядка N1966 Учредителем не соблюден порядок формирования муниципального задания и порядок определения объема субсидии на финансовое обеспечение выполнения муниципального задания, выразившееся в определении  нормативных затрат  на оказание муниципальных услуг на 2024 год и на плановый период 2025, 2026 годы с применением</w:t>
            </w:r>
            <w:proofErr w:type="gramEnd"/>
            <w:r w:rsidR="00CF05C4" w:rsidRPr="00CF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базовых нормативов затрат и корректирующих коэффициентов, утвержденных Учреждению приказами Управления образования от 31.10.2024 N183-6</w:t>
            </w:r>
            <w:proofErr w:type="gramStart"/>
            <w:r w:rsidR="00CF05C4" w:rsidRPr="00CF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/О</w:t>
            </w:r>
            <w:proofErr w:type="gramEnd"/>
            <w:r w:rsidR="00CF05C4" w:rsidRPr="00CF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CF05C4" w:rsidRPr="00CF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04.12.2024 N 207-6,позже даты утверждения муниципальных заданий N 011.5 от 28.10.2024 и N 011.7 от 03.12.2024 соответственно.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843D1" w:rsidRDefault="00F240D8" w:rsidP="0027543E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843D1" w:rsidRPr="001217BF" w:rsidRDefault="00D843D1" w:rsidP="0027543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3D1" w:rsidRPr="001217BF" w:rsidTr="00754D59">
        <w:trPr>
          <w:gridAfter w:val="1"/>
          <w:wAfter w:w="25" w:type="dxa"/>
          <w:trHeight w:hRule="exact" w:val="2257"/>
        </w:trPr>
        <w:tc>
          <w:tcPr>
            <w:tcW w:w="4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Pr="00D843D1" w:rsidRDefault="00DF0A16" w:rsidP="007424C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843D1" w:rsidRPr="00D8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843D1" w:rsidRPr="00CF05C4" w:rsidRDefault="00AF34EF" w:rsidP="0027543E">
            <w:pPr>
              <w:spacing w:after="0" w:line="240" w:lineRule="auto"/>
              <w:ind w:left="113" w:right="125" w:firstLine="3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F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нарушение пункта 4 Порядка N1966, пункта 10 статьи 2 Федерального закона от 03.11.2006 N 174-ФЗ «Об автономных учреждениях», пункта 15 Приказа Министерства финансов России от 21.07.2011 N86н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Учреждением осуществлялось размещение на сайте www.bus.gov.ru муниципальных заданий и</w:t>
            </w:r>
            <w:proofErr w:type="gramEnd"/>
            <w:r w:rsidRPr="00CF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отчетов о его выполнении за 2024 год несвоевременно (с нарушением срока 3 рабочих дней).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D843D1" w:rsidRDefault="00F240D8" w:rsidP="0027543E">
            <w:pPr>
              <w:widowControl w:val="0"/>
              <w:autoSpaceDE w:val="0"/>
              <w:autoSpaceDN w:val="0"/>
              <w:adjustRightInd w:val="0"/>
              <w:spacing w:before="30" w:after="0" w:line="240" w:lineRule="exact"/>
              <w:ind w:left="113" w:right="125"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843D1" w:rsidRPr="001217BF" w:rsidRDefault="00D843D1" w:rsidP="0027543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13" w:right="12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B0120E" w:rsidRPr="001217BF" w:rsidTr="00DF0A16">
        <w:trPr>
          <w:gridAfter w:val="1"/>
          <w:wAfter w:w="25" w:type="dxa"/>
          <w:trHeight w:hRule="exact" w:val="285"/>
        </w:trPr>
        <w:tc>
          <w:tcPr>
            <w:tcW w:w="8931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:rsidR="00D843D1" w:rsidRDefault="00355F91" w:rsidP="00355F91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CC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91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="00D84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843D1" w:rsidRDefault="00D843D1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Итого: </w:t>
            </w:r>
            <w:r w:rsidRPr="00121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0120E" w:rsidRPr="001217BF" w:rsidRDefault="00F240D8" w:rsidP="00CA307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20E" w:rsidRPr="001217BF" w:rsidTr="00DF0A16">
        <w:trPr>
          <w:gridAfter w:val="2"/>
          <w:wAfter w:w="75" w:type="dxa"/>
          <w:trHeight w:hRule="exact" w:val="2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20E" w:rsidRPr="001217BF" w:rsidRDefault="00B0120E" w:rsidP="00B0120E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20E" w:rsidRPr="001217BF" w:rsidRDefault="00B0120E" w:rsidP="0068188D">
      <w:pPr>
        <w:rPr>
          <w:rFonts w:ascii="Times New Roman" w:hAnsi="Times New Roman" w:cs="Times New Roman"/>
          <w:sz w:val="24"/>
          <w:szCs w:val="24"/>
        </w:rPr>
      </w:pPr>
    </w:p>
    <w:sectPr w:rsidR="00B0120E" w:rsidRPr="001217BF" w:rsidSect="00BC3272">
      <w:footerReference w:type="default" r:id="rId9"/>
      <w:pgSz w:w="11906" w:h="16838"/>
      <w:pgMar w:top="567" w:right="1134" w:bottom="29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2F" w:rsidRDefault="00D54C2F" w:rsidP="001C2B8A">
      <w:pPr>
        <w:spacing w:after="0" w:line="240" w:lineRule="auto"/>
      </w:pPr>
      <w:r>
        <w:separator/>
      </w:r>
    </w:p>
  </w:endnote>
  <w:endnote w:type="continuationSeparator" w:id="0">
    <w:p w:rsidR="00D54C2F" w:rsidRDefault="00D54C2F" w:rsidP="001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19369"/>
      <w:docPartObj>
        <w:docPartGallery w:val="Page Numbers (Bottom of Page)"/>
        <w:docPartUnique/>
      </w:docPartObj>
    </w:sdtPr>
    <w:sdtEndPr/>
    <w:sdtContent>
      <w:p w:rsidR="00C12746" w:rsidRDefault="00C127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0D8">
          <w:rPr>
            <w:noProof/>
          </w:rPr>
          <w:t>2</w:t>
        </w:r>
        <w:r>
          <w:fldChar w:fldCharType="end"/>
        </w:r>
      </w:p>
    </w:sdtContent>
  </w:sdt>
  <w:p w:rsidR="00C12746" w:rsidRDefault="00C127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2F" w:rsidRDefault="00D54C2F" w:rsidP="001C2B8A">
      <w:pPr>
        <w:spacing w:after="0" w:line="240" w:lineRule="auto"/>
      </w:pPr>
      <w:r>
        <w:separator/>
      </w:r>
    </w:p>
  </w:footnote>
  <w:footnote w:type="continuationSeparator" w:id="0">
    <w:p w:rsidR="00D54C2F" w:rsidRDefault="00D54C2F" w:rsidP="001C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0E"/>
    <w:rsid w:val="00003D88"/>
    <w:rsid w:val="00010A74"/>
    <w:rsid w:val="00011F86"/>
    <w:rsid w:val="000159A8"/>
    <w:rsid w:val="0002177C"/>
    <w:rsid w:val="00033F04"/>
    <w:rsid w:val="000376E3"/>
    <w:rsid w:val="000415D0"/>
    <w:rsid w:val="0005004E"/>
    <w:rsid w:val="00051BF0"/>
    <w:rsid w:val="0005310D"/>
    <w:rsid w:val="00057637"/>
    <w:rsid w:val="00061EA5"/>
    <w:rsid w:val="00064C00"/>
    <w:rsid w:val="00067AE9"/>
    <w:rsid w:val="000710EE"/>
    <w:rsid w:val="000724C7"/>
    <w:rsid w:val="00075D5D"/>
    <w:rsid w:val="0007714E"/>
    <w:rsid w:val="000776BF"/>
    <w:rsid w:val="000801D8"/>
    <w:rsid w:val="00093B28"/>
    <w:rsid w:val="00095AC6"/>
    <w:rsid w:val="0009748A"/>
    <w:rsid w:val="000A1C2A"/>
    <w:rsid w:val="000A6D80"/>
    <w:rsid w:val="000B20F4"/>
    <w:rsid w:val="000B21D9"/>
    <w:rsid w:val="000B5CB5"/>
    <w:rsid w:val="000C1825"/>
    <w:rsid w:val="000C18D1"/>
    <w:rsid w:val="000C3B5E"/>
    <w:rsid w:val="000D2586"/>
    <w:rsid w:val="000E1D6A"/>
    <w:rsid w:val="000E6380"/>
    <w:rsid w:val="000F064E"/>
    <w:rsid w:val="000F3A69"/>
    <w:rsid w:val="000F50E6"/>
    <w:rsid w:val="000F5BDE"/>
    <w:rsid w:val="000F5E11"/>
    <w:rsid w:val="000F6608"/>
    <w:rsid w:val="00102968"/>
    <w:rsid w:val="00103EF8"/>
    <w:rsid w:val="00105B50"/>
    <w:rsid w:val="00105F83"/>
    <w:rsid w:val="00111BAA"/>
    <w:rsid w:val="00115443"/>
    <w:rsid w:val="00115C5C"/>
    <w:rsid w:val="00117D1E"/>
    <w:rsid w:val="001217BF"/>
    <w:rsid w:val="00126AC4"/>
    <w:rsid w:val="00126B02"/>
    <w:rsid w:val="00126B45"/>
    <w:rsid w:val="00126D86"/>
    <w:rsid w:val="00133E49"/>
    <w:rsid w:val="00136F48"/>
    <w:rsid w:val="001374C3"/>
    <w:rsid w:val="00143DF2"/>
    <w:rsid w:val="001456E2"/>
    <w:rsid w:val="00147B82"/>
    <w:rsid w:val="0015251D"/>
    <w:rsid w:val="00153694"/>
    <w:rsid w:val="0015511A"/>
    <w:rsid w:val="001627CE"/>
    <w:rsid w:val="0016378B"/>
    <w:rsid w:val="001650A5"/>
    <w:rsid w:val="001654C7"/>
    <w:rsid w:val="001669C0"/>
    <w:rsid w:val="0017758F"/>
    <w:rsid w:val="00183CC9"/>
    <w:rsid w:val="00186222"/>
    <w:rsid w:val="001921C1"/>
    <w:rsid w:val="001939A1"/>
    <w:rsid w:val="001A1211"/>
    <w:rsid w:val="001A478D"/>
    <w:rsid w:val="001A5771"/>
    <w:rsid w:val="001B645C"/>
    <w:rsid w:val="001C0FD6"/>
    <w:rsid w:val="001C2B8A"/>
    <w:rsid w:val="001C5753"/>
    <w:rsid w:val="001D30BC"/>
    <w:rsid w:val="001D377F"/>
    <w:rsid w:val="001E38B4"/>
    <w:rsid w:val="001E5AC3"/>
    <w:rsid w:val="001F29C5"/>
    <w:rsid w:val="00200ABF"/>
    <w:rsid w:val="00201432"/>
    <w:rsid w:val="00202B05"/>
    <w:rsid w:val="00203A9F"/>
    <w:rsid w:val="00206AB0"/>
    <w:rsid w:val="002114A1"/>
    <w:rsid w:val="002217D1"/>
    <w:rsid w:val="00230488"/>
    <w:rsid w:val="0023228F"/>
    <w:rsid w:val="00236E47"/>
    <w:rsid w:val="00241240"/>
    <w:rsid w:val="00243610"/>
    <w:rsid w:val="00244A0F"/>
    <w:rsid w:val="00244DBF"/>
    <w:rsid w:val="00244DC5"/>
    <w:rsid w:val="0025719C"/>
    <w:rsid w:val="0026597F"/>
    <w:rsid w:val="00265EF2"/>
    <w:rsid w:val="00270416"/>
    <w:rsid w:val="00271E46"/>
    <w:rsid w:val="0027543E"/>
    <w:rsid w:val="0028326F"/>
    <w:rsid w:val="002A3138"/>
    <w:rsid w:val="002A49BC"/>
    <w:rsid w:val="002A4F2D"/>
    <w:rsid w:val="002E073F"/>
    <w:rsid w:val="002F287C"/>
    <w:rsid w:val="002F6E61"/>
    <w:rsid w:val="002F7DC6"/>
    <w:rsid w:val="00301AA4"/>
    <w:rsid w:val="003066A9"/>
    <w:rsid w:val="00313E63"/>
    <w:rsid w:val="003164E9"/>
    <w:rsid w:val="00317BB3"/>
    <w:rsid w:val="0032526B"/>
    <w:rsid w:val="00331656"/>
    <w:rsid w:val="00336759"/>
    <w:rsid w:val="0033738F"/>
    <w:rsid w:val="00342857"/>
    <w:rsid w:val="00342D6B"/>
    <w:rsid w:val="00346B5D"/>
    <w:rsid w:val="00347B12"/>
    <w:rsid w:val="003517C8"/>
    <w:rsid w:val="00353FBF"/>
    <w:rsid w:val="00355F91"/>
    <w:rsid w:val="00357AAC"/>
    <w:rsid w:val="003756FF"/>
    <w:rsid w:val="003811D6"/>
    <w:rsid w:val="00390CBA"/>
    <w:rsid w:val="00391A05"/>
    <w:rsid w:val="00394E82"/>
    <w:rsid w:val="003A1EA6"/>
    <w:rsid w:val="003A1EB6"/>
    <w:rsid w:val="003A4978"/>
    <w:rsid w:val="003A666F"/>
    <w:rsid w:val="003A7CC2"/>
    <w:rsid w:val="003B5FCE"/>
    <w:rsid w:val="003C1716"/>
    <w:rsid w:val="003C17A0"/>
    <w:rsid w:val="003C7F54"/>
    <w:rsid w:val="003D0344"/>
    <w:rsid w:val="003D6C9B"/>
    <w:rsid w:val="003D7AAE"/>
    <w:rsid w:val="003E0217"/>
    <w:rsid w:val="003E3E6F"/>
    <w:rsid w:val="003E7103"/>
    <w:rsid w:val="003F6BB7"/>
    <w:rsid w:val="00403B2B"/>
    <w:rsid w:val="00410F9F"/>
    <w:rsid w:val="004177CA"/>
    <w:rsid w:val="00417ECA"/>
    <w:rsid w:val="004200BC"/>
    <w:rsid w:val="004221D3"/>
    <w:rsid w:val="0042390A"/>
    <w:rsid w:val="0043496A"/>
    <w:rsid w:val="004368AB"/>
    <w:rsid w:val="00437F63"/>
    <w:rsid w:val="0044042D"/>
    <w:rsid w:val="004429F8"/>
    <w:rsid w:val="00444860"/>
    <w:rsid w:val="00444899"/>
    <w:rsid w:val="00446269"/>
    <w:rsid w:val="004465A7"/>
    <w:rsid w:val="00455D23"/>
    <w:rsid w:val="004600DD"/>
    <w:rsid w:val="00482BD6"/>
    <w:rsid w:val="00491167"/>
    <w:rsid w:val="004A5770"/>
    <w:rsid w:val="004A7059"/>
    <w:rsid w:val="004C085F"/>
    <w:rsid w:val="004C0ECB"/>
    <w:rsid w:val="004C218F"/>
    <w:rsid w:val="004C3A38"/>
    <w:rsid w:val="004C6D98"/>
    <w:rsid w:val="004D15CE"/>
    <w:rsid w:val="004D4ADA"/>
    <w:rsid w:val="004E3B30"/>
    <w:rsid w:val="004E7ED5"/>
    <w:rsid w:val="004F5C52"/>
    <w:rsid w:val="00521895"/>
    <w:rsid w:val="0054250A"/>
    <w:rsid w:val="00543E3A"/>
    <w:rsid w:val="00551BE4"/>
    <w:rsid w:val="005558FC"/>
    <w:rsid w:val="00555DD7"/>
    <w:rsid w:val="00563FEA"/>
    <w:rsid w:val="00564719"/>
    <w:rsid w:val="00572186"/>
    <w:rsid w:val="00574086"/>
    <w:rsid w:val="00577131"/>
    <w:rsid w:val="005823F7"/>
    <w:rsid w:val="00582D24"/>
    <w:rsid w:val="005837E5"/>
    <w:rsid w:val="005906C5"/>
    <w:rsid w:val="00597005"/>
    <w:rsid w:val="005A48CC"/>
    <w:rsid w:val="005A59A3"/>
    <w:rsid w:val="005B012A"/>
    <w:rsid w:val="005B0C25"/>
    <w:rsid w:val="005C7859"/>
    <w:rsid w:val="005D25A9"/>
    <w:rsid w:val="005D525D"/>
    <w:rsid w:val="005D66AE"/>
    <w:rsid w:val="005E0F3F"/>
    <w:rsid w:val="005E5ED0"/>
    <w:rsid w:val="005E6864"/>
    <w:rsid w:val="005F0503"/>
    <w:rsid w:val="005F08C4"/>
    <w:rsid w:val="005F0B1E"/>
    <w:rsid w:val="005F29FA"/>
    <w:rsid w:val="005F4336"/>
    <w:rsid w:val="005F5D94"/>
    <w:rsid w:val="006020E7"/>
    <w:rsid w:val="006059D3"/>
    <w:rsid w:val="00607F41"/>
    <w:rsid w:val="00616E8D"/>
    <w:rsid w:val="00620451"/>
    <w:rsid w:val="00621564"/>
    <w:rsid w:val="00621D58"/>
    <w:rsid w:val="0062306F"/>
    <w:rsid w:val="00623286"/>
    <w:rsid w:val="0063639D"/>
    <w:rsid w:val="00636B5A"/>
    <w:rsid w:val="006412A9"/>
    <w:rsid w:val="00645D49"/>
    <w:rsid w:val="0065117B"/>
    <w:rsid w:val="006529B9"/>
    <w:rsid w:val="00655921"/>
    <w:rsid w:val="00657924"/>
    <w:rsid w:val="00657E04"/>
    <w:rsid w:val="006610C8"/>
    <w:rsid w:val="00661EEE"/>
    <w:rsid w:val="00665ACF"/>
    <w:rsid w:val="00671E81"/>
    <w:rsid w:val="0067297E"/>
    <w:rsid w:val="00681083"/>
    <w:rsid w:val="0068188D"/>
    <w:rsid w:val="00681DC4"/>
    <w:rsid w:val="00683389"/>
    <w:rsid w:val="00693541"/>
    <w:rsid w:val="00693A5A"/>
    <w:rsid w:val="00694326"/>
    <w:rsid w:val="006A322B"/>
    <w:rsid w:val="006A5667"/>
    <w:rsid w:val="006A6D60"/>
    <w:rsid w:val="006A72A1"/>
    <w:rsid w:val="006B2D7E"/>
    <w:rsid w:val="006B426B"/>
    <w:rsid w:val="006B7E4B"/>
    <w:rsid w:val="006B7EEF"/>
    <w:rsid w:val="006C3CC5"/>
    <w:rsid w:val="006D46D1"/>
    <w:rsid w:val="006D7021"/>
    <w:rsid w:val="006F2923"/>
    <w:rsid w:val="006F2D3F"/>
    <w:rsid w:val="006F3892"/>
    <w:rsid w:val="006F4321"/>
    <w:rsid w:val="007021B4"/>
    <w:rsid w:val="007100B3"/>
    <w:rsid w:val="00711A44"/>
    <w:rsid w:val="00717C24"/>
    <w:rsid w:val="007220CE"/>
    <w:rsid w:val="00722194"/>
    <w:rsid w:val="007262F2"/>
    <w:rsid w:val="0072719A"/>
    <w:rsid w:val="007406FE"/>
    <w:rsid w:val="007412A9"/>
    <w:rsid w:val="007424C6"/>
    <w:rsid w:val="00752739"/>
    <w:rsid w:val="00754D59"/>
    <w:rsid w:val="00764884"/>
    <w:rsid w:val="00770E15"/>
    <w:rsid w:val="007757CD"/>
    <w:rsid w:val="00792F41"/>
    <w:rsid w:val="00793F44"/>
    <w:rsid w:val="0079430D"/>
    <w:rsid w:val="007A23D3"/>
    <w:rsid w:val="007A24F9"/>
    <w:rsid w:val="007A4D9C"/>
    <w:rsid w:val="007B0CE4"/>
    <w:rsid w:val="007B105D"/>
    <w:rsid w:val="007C21F3"/>
    <w:rsid w:val="007C7565"/>
    <w:rsid w:val="007D1B39"/>
    <w:rsid w:val="007D4D6C"/>
    <w:rsid w:val="007D676E"/>
    <w:rsid w:val="007E0195"/>
    <w:rsid w:val="007E57BB"/>
    <w:rsid w:val="007E59C3"/>
    <w:rsid w:val="007E6873"/>
    <w:rsid w:val="007F622F"/>
    <w:rsid w:val="00805335"/>
    <w:rsid w:val="008062E2"/>
    <w:rsid w:val="0081386C"/>
    <w:rsid w:val="008202A5"/>
    <w:rsid w:val="0082705D"/>
    <w:rsid w:val="00827C7B"/>
    <w:rsid w:val="00834993"/>
    <w:rsid w:val="00835EC9"/>
    <w:rsid w:val="0084608E"/>
    <w:rsid w:val="00846F57"/>
    <w:rsid w:val="0084775B"/>
    <w:rsid w:val="00854286"/>
    <w:rsid w:val="008610F4"/>
    <w:rsid w:val="00873E76"/>
    <w:rsid w:val="00877259"/>
    <w:rsid w:val="00877A0C"/>
    <w:rsid w:val="00884EC0"/>
    <w:rsid w:val="008851A3"/>
    <w:rsid w:val="00891EAD"/>
    <w:rsid w:val="00893529"/>
    <w:rsid w:val="008A2705"/>
    <w:rsid w:val="008A7111"/>
    <w:rsid w:val="008B152D"/>
    <w:rsid w:val="008B2925"/>
    <w:rsid w:val="008C1C56"/>
    <w:rsid w:val="008C4F7F"/>
    <w:rsid w:val="008C5B70"/>
    <w:rsid w:val="008D1EBE"/>
    <w:rsid w:val="008D7A1F"/>
    <w:rsid w:val="008E037D"/>
    <w:rsid w:val="008E6E9B"/>
    <w:rsid w:val="008F0CE7"/>
    <w:rsid w:val="008F4688"/>
    <w:rsid w:val="008F7071"/>
    <w:rsid w:val="009006B0"/>
    <w:rsid w:val="00902E70"/>
    <w:rsid w:val="009072EB"/>
    <w:rsid w:val="0090792F"/>
    <w:rsid w:val="00911540"/>
    <w:rsid w:val="009117BB"/>
    <w:rsid w:val="00915438"/>
    <w:rsid w:val="00915482"/>
    <w:rsid w:val="00920244"/>
    <w:rsid w:val="00920CF8"/>
    <w:rsid w:val="00921D4F"/>
    <w:rsid w:val="00924D29"/>
    <w:rsid w:val="0093139F"/>
    <w:rsid w:val="009335BB"/>
    <w:rsid w:val="00947E1B"/>
    <w:rsid w:val="00952A1D"/>
    <w:rsid w:val="00956895"/>
    <w:rsid w:val="00957FB3"/>
    <w:rsid w:val="00960DA5"/>
    <w:rsid w:val="009626B6"/>
    <w:rsid w:val="00967991"/>
    <w:rsid w:val="00970C88"/>
    <w:rsid w:val="00981080"/>
    <w:rsid w:val="0098252C"/>
    <w:rsid w:val="00982DE4"/>
    <w:rsid w:val="00995360"/>
    <w:rsid w:val="009A3F20"/>
    <w:rsid w:val="009A4D33"/>
    <w:rsid w:val="009A669F"/>
    <w:rsid w:val="009A6B45"/>
    <w:rsid w:val="009A7F15"/>
    <w:rsid w:val="009C21C0"/>
    <w:rsid w:val="009C6453"/>
    <w:rsid w:val="009D31F7"/>
    <w:rsid w:val="009D61A7"/>
    <w:rsid w:val="009D6278"/>
    <w:rsid w:val="009E17DC"/>
    <w:rsid w:val="009F17DF"/>
    <w:rsid w:val="009F1954"/>
    <w:rsid w:val="009F706A"/>
    <w:rsid w:val="00A006BF"/>
    <w:rsid w:val="00A011C6"/>
    <w:rsid w:val="00A0155E"/>
    <w:rsid w:val="00A05910"/>
    <w:rsid w:val="00A17D68"/>
    <w:rsid w:val="00A20BB9"/>
    <w:rsid w:val="00A20BD4"/>
    <w:rsid w:val="00A2674E"/>
    <w:rsid w:val="00A27309"/>
    <w:rsid w:val="00A30B3B"/>
    <w:rsid w:val="00A36B7F"/>
    <w:rsid w:val="00A373CD"/>
    <w:rsid w:val="00A434AF"/>
    <w:rsid w:val="00A47406"/>
    <w:rsid w:val="00A5419E"/>
    <w:rsid w:val="00A55293"/>
    <w:rsid w:val="00A55E40"/>
    <w:rsid w:val="00A658F5"/>
    <w:rsid w:val="00A7282F"/>
    <w:rsid w:val="00A8020D"/>
    <w:rsid w:val="00A85CCE"/>
    <w:rsid w:val="00A86C42"/>
    <w:rsid w:val="00A907E0"/>
    <w:rsid w:val="00A91D99"/>
    <w:rsid w:val="00A91E4E"/>
    <w:rsid w:val="00A926FB"/>
    <w:rsid w:val="00A946E8"/>
    <w:rsid w:val="00A95031"/>
    <w:rsid w:val="00AA76B3"/>
    <w:rsid w:val="00AB1350"/>
    <w:rsid w:val="00AB2457"/>
    <w:rsid w:val="00AB4F93"/>
    <w:rsid w:val="00AD025E"/>
    <w:rsid w:val="00AD2F3B"/>
    <w:rsid w:val="00AD7CB6"/>
    <w:rsid w:val="00AE2DF9"/>
    <w:rsid w:val="00AF1F9B"/>
    <w:rsid w:val="00AF34EF"/>
    <w:rsid w:val="00AF3FC0"/>
    <w:rsid w:val="00AF7F93"/>
    <w:rsid w:val="00B0120E"/>
    <w:rsid w:val="00B05C2D"/>
    <w:rsid w:val="00B11BFD"/>
    <w:rsid w:val="00B14B8B"/>
    <w:rsid w:val="00B2313B"/>
    <w:rsid w:val="00B275F0"/>
    <w:rsid w:val="00B27D49"/>
    <w:rsid w:val="00B3241E"/>
    <w:rsid w:val="00B32A46"/>
    <w:rsid w:val="00B34089"/>
    <w:rsid w:val="00B45E99"/>
    <w:rsid w:val="00B54EE7"/>
    <w:rsid w:val="00B567B5"/>
    <w:rsid w:val="00B64B6D"/>
    <w:rsid w:val="00B650F5"/>
    <w:rsid w:val="00B7317F"/>
    <w:rsid w:val="00B744E9"/>
    <w:rsid w:val="00B811FC"/>
    <w:rsid w:val="00B82672"/>
    <w:rsid w:val="00B90FC9"/>
    <w:rsid w:val="00B928C8"/>
    <w:rsid w:val="00B936BB"/>
    <w:rsid w:val="00B9381F"/>
    <w:rsid w:val="00B94900"/>
    <w:rsid w:val="00B94F36"/>
    <w:rsid w:val="00B95AD7"/>
    <w:rsid w:val="00BA0035"/>
    <w:rsid w:val="00BA5BE0"/>
    <w:rsid w:val="00BA73DD"/>
    <w:rsid w:val="00BB1EB0"/>
    <w:rsid w:val="00BB666F"/>
    <w:rsid w:val="00BB690B"/>
    <w:rsid w:val="00BC3272"/>
    <w:rsid w:val="00BC47D6"/>
    <w:rsid w:val="00BC7934"/>
    <w:rsid w:val="00BE0BCE"/>
    <w:rsid w:val="00BE7EE6"/>
    <w:rsid w:val="00BF20C8"/>
    <w:rsid w:val="00BF3143"/>
    <w:rsid w:val="00BF547A"/>
    <w:rsid w:val="00BF57BD"/>
    <w:rsid w:val="00C005E7"/>
    <w:rsid w:val="00C07F20"/>
    <w:rsid w:val="00C10149"/>
    <w:rsid w:val="00C12746"/>
    <w:rsid w:val="00C1312D"/>
    <w:rsid w:val="00C13E2F"/>
    <w:rsid w:val="00C15966"/>
    <w:rsid w:val="00C24031"/>
    <w:rsid w:val="00C30EA6"/>
    <w:rsid w:val="00C44E52"/>
    <w:rsid w:val="00C44E7C"/>
    <w:rsid w:val="00C620CD"/>
    <w:rsid w:val="00C67474"/>
    <w:rsid w:val="00C7336E"/>
    <w:rsid w:val="00C77CD7"/>
    <w:rsid w:val="00C810A8"/>
    <w:rsid w:val="00C87115"/>
    <w:rsid w:val="00CA307E"/>
    <w:rsid w:val="00CA5F5F"/>
    <w:rsid w:val="00CA5FBC"/>
    <w:rsid w:val="00CB0098"/>
    <w:rsid w:val="00CB04F3"/>
    <w:rsid w:val="00CC5001"/>
    <w:rsid w:val="00CC7917"/>
    <w:rsid w:val="00CD2BD1"/>
    <w:rsid w:val="00CF05C4"/>
    <w:rsid w:val="00D11ACB"/>
    <w:rsid w:val="00D11C85"/>
    <w:rsid w:val="00D143AE"/>
    <w:rsid w:val="00D17396"/>
    <w:rsid w:val="00D20C23"/>
    <w:rsid w:val="00D53503"/>
    <w:rsid w:val="00D54C2F"/>
    <w:rsid w:val="00D56BBA"/>
    <w:rsid w:val="00D62B33"/>
    <w:rsid w:val="00D63FAB"/>
    <w:rsid w:val="00D65EE4"/>
    <w:rsid w:val="00D6675B"/>
    <w:rsid w:val="00D74AD0"/>
    <w:rsid w:val="00D81333"/>
    <w:rsid w:val="00D8252C"/>
    <w:rsid w:val="00D83059"/>
    <w:rsid w:val="00D843D1"/>
    <w:rsid w:val="00DA70BF"/>
    <w:rsid w:val="00DB0A2B"/>
    <w:rsid w:val="00DB4750"/>
    <w:rsid w:val="00DB64FB"/>
    <w:rsid w:val="00DC1B46"/>
    <w:rsid w:val="00DC4435"/>
    <w:rsid w:val="00DC645C"/>
    <w:rsid w:val="00DE0DF9"/>
    <w:rsid w:val="00DE3C76"/>
    <w:rsid w:val="00DE3F1E"/>
    <w:rsid w:val="00DE4AF5"/>
    <w:rsid w:val="00DF0A16"/>
    <w:rsid w:val="00DF133D"/>
    <w:rsid w:val="00DF1DF5"/>
    <w:rsid w:val="00DF22C6"/>
    <w:rsid w:val="00DF652F"/>
    <w:rsid w:val="00E00C60"/>
    <w:rsid w:val="00E01F28"/>
    <w:rsid w:val="00E023C3"/>
    <w:rsid w:val="00E06D1F"/>
    <w:rsid w:val="00E20319"/>
    <w:rsid w:val="00E20C0D"/>
    <w:rsid w:val="00E21261"/>
    <w:rsid w:val="00E27830"/>
    <w:rsid w:val="00E3145C"/>
    <w:rsid w:val="00E31663"/>
    <w:rsid w:val="00E4337D"/>
    <w:rsid w:val="00E46541"/>
    <w:rsid w:val="00E4755F"/>
    <w:rsid w:val="00E501DF"/>
    <w:rsid w:val="00E52F40"/>
    <w:rsid w:val="00E554F1"/>
    <w:rsid w:val="00E56A3A"/>
    <w:rsid w:val="00E5752B"/>
    <w:rsid w:val="00E603A4"/>
    <w:rsid w:val="00E60987"/>
    <w:rsid w:val="00E60AD7"/>
    <w:rsid w:val="00E6153A"/>
    <w:rsid w:val="00E6167A"/>
    <w:rsid w:val="00E73A52"/>
    <w:rsid w:val="00E82FC9"/>
    <w:rsid w:val="00E91013"/>
    <w:rsid w:val="00E9187A"/>
    <w:rsid w:val="00E936B2"/>
    <w:rsid w:val="00E93994"/>
    <w:rsid w:val="00E97687"/>
    <w:rsid w:val="00EA076D"/>
    <w:rsid w:val="00EA1BD6"/>
    <w:rsid w:val="00EA7CA2"/>
    <w:rsid w:val="00EB0D5B"/>
    <w:rsid w:val="00EC6363"/>
    <w:rsid w:val="00EC6622"/>
    <w:rsid w:val="00EC70E9"/>
    <w:rsid w:val="00EF0F97"/>
    <w:rsid w:val="00EF612E"/>
    <w:rsid w:val="00EF6AB4"/>
    <w:rsid w:val="00F0468A"/>
    <w:rsid w:val="00F11DD6"/>
    <w:rsid w:val="00F13CF7"/>
    <w:rsid w:val="00F15DAD"/>
    <w:rsid w:val="00F20498"/>
    <w:rsid w:val="00F233BF"/>
    <w:rsid w:val="00F240D8"/>
    <w:rsid w:val="00F3141F"/>
    <w:rsid w:val="00F31E3F"/>
    <w:rsid w:val="00F33076"/>
    <w:rsid w:val="00F336D5"/>
    <w:rsid w:val="00F341C7"/>
    <w:rsid w:val="00F439D6"/>
    <w:rsid w:val="00F46AB8"/>
    <w:rsid w:val="00F529C7"/>
    <w:rsid w:val="00F57DA8"/>
    <w:rsid w:val="00F66FBE"/>
    <w:rsid w:val="00F754D1"/>
    <w:rsid w:val="00F757BD"/>
    <w:rsid w:val="00F7711B"/>
    <w:rsid w:val="00F77CB3"/>
    <w:rsid w:val="00F77F54"/>
    <w:rsid w:val="00F8345A"/>
    <w:rsid w:val="00F83ACB"/>
    <w:rsid w:val="00F8485F"/>
    <w:rsid w:val="00F8760E"/>
    <w:rsid w:val="00FA40E9"/>
    <w:rsid w:val="00FB449D"/>
    <w:rsid w:val="00FC65BD"/>
    <w:rsid w:val="00FC7311"/>
    <w:rsid w:val="00FD608A"/>
    <w:rsid w:val="00FD6B24"/>
    <w:rsid w:val="00FE74E4"/>
    <w:rsid w:val="00FE7BDE"/>
    <w:rsid w:val="00FF135F"/>
    <w:rsid w:val="00FF26E4"/>
    <w:rsid w:val="00FF2D34"/>
    <w:rsid w:val="00FF4FBB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F34E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B8A"/>
  </w:style>
  <w:style w:type="paragraph" w:styleId="a5">
    <w:name w:val="footer"/>
    <w:basedOn w:val="a"/>
    <w:link w:val="a6"/>
    <w:uiPriority w:val="99"/>
    <w:unhideWhenUsed/>
    <w:rsid w:val="001C2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B8A"/>
  </w:style>
  <w:style w:type="character" w:styleId="a7">
    <w:name w:val="Hyperlink"/>
    <w:basedOn w:val="a0"/>
    <w:uiPriority w:val="99"/>
    <w:unhideWhenUsed/>
    <w:rsid w:val="00CA5FB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F34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1B08-EEBD-43A7-A940-D4232B5F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Анатольевна Кузьмина</dc:creator>
  <cp:lastModifiedBy>Светлана П. Толмачева</cp:lastModifiedBy>
  <cp:revision>43</cp:revision>
  <cp:lastPrinted>2023-03-07T06:15:00Z</cp:lastPrinted>
  <dcterms:created xsi:type="dcterms:W3CDTF">2025-05-05T11:45:00Z</dcterms:created>
  <dcterms:modified xsi:type="dcterms:W3CDTF">2025-07-30T08:51:00Z</dcterms:modified>
</cp:coreProperties>
</file>