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526" w:rsidRDefault="006A168F">
      <w:pPr>
        <w:widowControl w:val="0"/>
        <w:jc w:val="center"/>
        <w:rPr>
          <w:rFonts w:eastAsia="SimSun"/>
          <w:b/>
          <w:caps/>
          <w:spacing w:val="-1"/>
          <w:lang w:eastAsia="zh-CN"/>
        </w:rPr>
      </w:pPr>
      <w:bookmarkStart w:id="0" w:name="_Toc215687174"/>
      <w:bookmarkStart w:id="1" w:name="_Toc220588741"/>
      <w:bookmarkStart w:id="2" w:name="_GoBack"/>
      <w:bookmarkEnd w:id="2"/>
      <w:r>
        <w:rPr>
          <w:rFonts w:eastAsia="SimSun"/>
          <w:b/>
          <w:spacing w:val="-1"/>
          <w:lang w:eastAsia="zh-CN"/>
        </w:rPr>
        <w:t>ФЕДЕРАЛЬНАЯ СЛУЖБА ПО ВЕТЕРИНАРНОМУ</w:t>
      </w:r>
    </w:p>
    <w:p w:rsidR="00492526" w:rsidRDefault="006A168F">
      <w:pPr>
        <w:widowControl w:val="0"/>
        <w:jc w:val="center"/>
        <w:rPr>
          <w:rFonts w:eastAsia="SimSun"/>
          <w:b/>
          <w:spacing w:val="-1"/>
          <w:lang w:eastAsia="zh-CN"/>
        </w:rPr>
      </w:pPr>
      <w:r>
        <w:rPr>
          <w:rFonts w:eastAsia="SimSun"/>
          <w:b/>
          <w:spacing w:val="-1"/>
          <w:lang w:eastAsia="zh-CN"/>
        </w:rPr>
        <w:t>И ФИТОСАНИТАРНОМУ НАДЗОРУ</w:t>
      </w:r>
    </w:p>
    <w:p w:rsidR="00492526" w:rsidRDefault="006A168F">
      <w:pPr>
        <w:widowControl w:val="0"/>
        <w:jc w:val="center"/>
        <w:rPr>
          <w:rFonts w:eastAsia="SimSun"/>
          <w:b/>
          <w:caps/>
          <w:spacing w:val="-1"/>
          <w:lang w:eastAsia="zh-CN"/>
        </w:rPr>
      </w:pPr>
      <w:r>
        <w:rPr>
          <w:rFonts w:eastAsia="SimSun"/>
          <w:b/>
          <w:caps/>
          <w:spacing w:val="-1"/>
          <w:lang w:eastAsia="zh-CN"/>
        </w:rPr>
        <w:t>(</w:t>
      </w:r>
      <w:r>
        <w:rPr>
          <w:rFonts w:eastAsia="SimSun"/>
          <w:b/>
          <w:spacing w:val="-1"/>
          <w:lang w:eastAsia="zh-CN"/>
        </w:rPr>
        <w:t>Россельхознадзор</w:t>
      </w:r>
      <w:r>
        <w:rPr>
          <w:rFonts w:eastAsia="SimSun"/>
          <w:b/>
          <w:caps/>
          <w:spacing w:val="-1"/>
          <w:lang w:eastAsia="zh-CN"/>
        </w:rPr>
        <w:t>)</w:t>
      </w:r>
    </w:p>
    <w:p w:rsidR="00492526" w:rsidRDefault="006A168F">
      <w:pPr>
        <w:spacing w:before="120"/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Федеральное государственное бюджетное учреждение</w:t>
      </w:r>
    </w:p>
    <w:p w:rsidR="00492526" w:rsidRDefault="006A168F">
      <w:pPr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«ВСЕРОССИЙСКИЙ ЦЕНТР КАРАНТИНА РАСТЕНИЙ»</w:t>
      </w:r>
    </w:p>
    <w:p w:rsidR="00492526" w:rsidRDefault="006A168F">
      <w:pPr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(ФГБУ «ВНИИКР»)</w:t>
      </w:r>
    </w:p>
    <w:p w:rsidR="00492526" w:rsidRDefault="00492526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492526" w:rsidRDefault="00492526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492526" w:rsidRDefault="00492526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492526" w:rsidRDefault="00492526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492526" w:rsidRDefault="006A168F">
      <w:pPr>
        <w:pStyle w:val="aff7"/>
        <w:outlineLvl w:val="9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МЕТОДИЧЕСКИЕ РЕКОМЕНДАЦИИ </w:t>
      </w:r>
    </w:p>
    <w:p w:rsidR="00492526" w:rsidRDefault="006A168F">
      <w:pPr>
        <w:pStyle w:val="aff7"/>
        <w:spacing w:before="0" w:after="0"/>
        <w:outlineLvl w:val="9"/>
        <w:rPr>
          <w:b w:val="0"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ПО БОРЬБЕ С БОРЩЕВИКОМ СОСНОВСКОГО</w:t>
      </w:r>
    </w:p>
    <w:p w:rsidR="00492526" w:rsidRDefault="006A168F">
      <w:pPr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(</w:t>
      </w:r>
      <w:r>
        <w:rPr>
          <w:b/>
          <w:i/>
          <w:sz w:val="32"/>
          <w:szCs w:val="32"/>
          <w:lang w:eastAsia="ar-SA"/>
        </w:rPr>
        <w:t>Heracleum sosnovskyi</w:t>
      </w:r>
      <w:r>
        <w:rPr>
          <w:b/>
          <w:sz w:val="32"/>
          <w:szCs w:val="32"/>
          <w:lang w:eastAsia="ar-SA"/>
        </w:rPr>
        <w:t xml:space="preserve"> Manden.)</w:t>
      </w:r>
    </w:p>
    <w:p w:rsidR="00492526" w:rsidRDefault="006A168F">
      <w:pPr>
        <w:pStyle w:val="aff7"/>
        <w:outlineLvl w:val="9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на землях сельскохозяйственного назначения</w:t>
      </w:r>
    </w:p>
    <w:p w:rsidR="00492526" w:rsidRDefault="00492526">
      <w:pPr>
        <w:jc w:val="center"/>
        <w:rPr>
          <w:b/>
          <w:lang w:eastAsia="ar-SA"/>
        </w:rPr>
      </w:pPr>
    </w:p>
    <w:p w:rsidR="00492526" w:rsidRDefault="006A168F">
      <w:pPr>
        <w:ind w:left="-142"/>
        <w:jc w:val="center"/>
        <w:rPr>
          <w:b/>
          <w:lang w:eastAsia="ar-SA"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4361815" cy="5029200"/>
                <wp:effectExtent l="0" t="0" r="635" b="0"/>
                <wp:docPr id="1" name="Рисунок 3" descr="C:\Users\kulakova_j\Downloads\IMG_0469-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kulakova_j\Downloads\IMG_0469-big.jp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t="11288" b="23926"/>
                        <a:stretch/>
                      </pic:blipFill>
                      <pic:spPr bwMode="auto">
                        <a:xfrm>
                          <a:off x="0" y="0"/>
                          <a:ext cx="4368081" cy="503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3.45pt;height:396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492526" w:rsidRDefault="00492526">
      <w:pPr>
        <w:ind w:left="-142"/>
        <w:jc w:val="center"/>
        <w:rPr>
          <w:b/>
          <w:lang w:eastAsia="ar-SA"/>
        </w:rPr>
      </w:pPr>
    </w:p>
    <w:p w:rsidR="00492526" w:rsidRDefault="00492526">
      <w:pPr>
        <w:ind w:left="-142"/>
        <w:jc w:val="center"/>
        <w:rPr>
          <w:b/>
          <w:lang w:eastAsia="ar-SA"/>
        </w:rPr>
      </w:pPr>
    </w:p>
    <w:p w:rsidR="00492526" w:rsidRDefault="006A168F">
      <w:pPr>
        <w:ind w:left="-142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</w:t>
      </w:r>
    </w:p>
    <w:p w:rsidR="00492526" w:rsidRDefault="006A168F">
      <w:pPr>
        <w:ind w:left="-142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br w:type="page" w:clear="all"/>
      </w:r>
    </w:p>
    <w:p w:rsidR="00492526" w:rsidRDefault="006A168F">
      <w:pPr>
        <w:pStyle w:val="1"/>
        <w:spacing w:beforeAutospacing="0" w:afterAutospacing="0" w:line="283" w:lineRule="atLeast"/>
        <w:ind w:left="993" w:right="566"/>
        <w:rPr>
          <w:sz w:val="28"/>
          <w:szCs w:val="28"/>
          <w:lang w:val="ru-RU"/>
        </w:rPr>
      </w:pPr>
      <w:bookmarkStart w:id="3" w:name="_Toc234595554"/>
      <w:bookmarkEnd w:id="0"/>
      <w:bookmarkEnd w:id="1"/>
      <w:r>
        <w:rPr>
          <w:sz w:val="28"/>
          <w:szCs w:val="28"/>
          <w:lang w:val="ru-RU"/>
        </w:rPr>
        <w:lastRenderedPageBreak/>
        <w:t>Комплекс мер по борьбе с борщевиком Сосновского на землях сельскохозяйственного назначения</w:t>
      </w:r>
      <w:bookmarkEnd w:id="3"/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землях сельскохозяйственного назначения следует последовательно проводить следующие комплексы мероприятий:</w:t>
      </w:r>
    </w:p>
    <w:p w:rsidR="00492526" w:rsidRDefault="00492526">
      <w:pPr>
        <w:spacing w:line="283" w:lineRule="atLeast"/>
        <w:ind w:firstLine="709"/>
        <w:jc w:val="both"/>
        <w:rPr>
          <w:sz w:val="28"/>
          <w:szCs w:val="28"/>
        </w:rPr>
      </w:pP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весенне-летнее время: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обработка гербицидами;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вспашка и культивация (либо дискование в два следа перекрестно);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посев многолетних бобовы</w:t>
      </w:r>
      <w:r>
        <w:rPr>
          <w:sz w:val="28"/>
          <w:szCs w:val="28"/>
        </w:rPr>
        <w:t>х трав (клевер красный; клевер гибридный, клевер ползучий; люцерна и т.п.).</w:t>
      </w:r>
    </w:p>
    <w:p w:rsidR="00492526" w:rsidRDefault="00492526">
      <w:pPr>
        <w:spacing w:line="283" w:lineRule="atLeast"/>
        <w:ind w:firstLine="709"/>
        <w:jc w:val="both"/>
        <w:rPr>
          <w:sz w:val="28"/>
          <w:szCs w:val="28"/>
        </w:rPr>
      </w:pP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вторую половину лета: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скашивание;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обработка гербицидами;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вспашка/культивация, подготовка под посев;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посев бобовых или злаковых культур, например, озимых зерновых в </w:t>
      </w:r>
      <w:r>
        <w:rPr>
          <w:sz w:val="28"/>
          <w:szCs w:val="28"/>
        </w:rPr>
        <w:t>зависимости от примененного ранее пестицида.</w:t>
      </w:r>
    </w:p>
    <w:p w:rsidR="00492526" w:rsidRDefault="00492526">
      <w:pPr>
        <w:spacing w:line="283" w:lineRule="atLeast"/>
        <w:ind w:firstLine="709"/>
        <w:jc w:val="both"/>
        <w:rPr>
          <w:sz w:val="28"/>
          <w:szCs w:val="28"/>
        </w:rPr>
      </w:pP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водоохранных зонах: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одно- или двукратное скашивание;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вспашка и культивация (либо дискование в два следа перекрестно);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посев многолетних бобовых или газонных культур, луговых трав.</w:t>
      </w:r>
    </w:p>
    <w:p w:rsidR="00492526" w:rsidRDefault="00492526">
      <w:pPr>
        <w:spacing w:line="283" w:lineRule="atLeast"/>
        <w:ind w:firstLine="709"/>
        <w:jc w:val="both"/>
        <w:rPr>
          <w:sz w:val="28"/>
          <w:szCs w:val="28"/>
        </w:rPr>
      </w:pPr>
    </w:p>
    <w:p w:rsidR="00492526" w:rsidRDefault="006A168F">
      <w:pPr>
        <w:pStyle w:val="1"/>
        <w:spacing w:beforeAutospacing="0" w:afterAutospacing="0" w:line="283" w:lineRule="atLeast"/>
        <w:rPr>
          <w:sz w:val="28"/>
          <w:szCs w:val="28"/>
          <w:lang w:val="ru-RU"/>
        </w:rPr>
      </w:pPr>
      <w:bookmarkStart w:id="4" w:name="_Toc234595555"/>
      <w:r>
        <w:rPr>
          <w:sz w:val="28"/>
          <w:szCs w:val="28"/>
          <w:lang w:val="ru-RU"/>
        </w:rPr>
        <w:t>Мероприятия по бор</w:t>
      </w:r>
      <w:r>
        <w:rPr>
          <w:sz w:val="28"/>
          <w:szCs w:val="28"/>
          <w:lang w:val="ru-RU"/>
        </w:rPr>
        <w:t>ьбе с борщевиком Сосновского</w:t>
      </w:r>
      <w:bookmarkEnd w:id="4"/>
    </w:p>
    <w:p w:rsidR="00492526" w:rsidRDefault="00492526">
      <w:pPr>
        <w:pStyle w:val="a7"/>
        <w:spacing w:before="0" w:after="0" w:line="283" w:lineRule="atLeast"/>
        <w:rPr>
          <w:szCs w:val="28"/>
          <w:lang w:val="ru-RU"/>
        </w:rPr>
      </w:pPr>
    </w:p>
    <w:p w:rsidR="00492526" w:rsidRDefault="006A168F">
      <w:pPr>
        <w:pStyle w:val="a7"/>
        <w:spacing w:before="0" w:after="0" w:line="283" w:lineRule="atLeast"/>
        <w:rPr>
          <w:szCs w:val="28"/>
          <w:lang w:val="ru-RU"/>
        </w:rPr>
      </w:pPr>
      <w:bookmarkStart w:id="5" w:name="_Toc234595556"/>
      <w:r>
        <w:rPr>
          <w:szCs w:val="28"/>
          <w:lang w:val="ru-RU"/>
        </w:rPr>
        <w:t>Химические мероприятия</w:t>
      </w:r>
      <w:bookmarkEnd w:id="5"/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выборе гербицида для обработки участков необходимо ориентироваться на следующее: </w:t>
      </w:r>
    </w:p>
    <w:p w:rsidR="00492526" w:rsidRDefault="006A168F">
      <w:pPr>
        <w:spacing w:line="283" w:lineRule="atLeast"/>
        <w:ind w:firstLine="709"/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по спектру действия подходят: </w:t>
      </w:r>
    </w:p>
    <w:p w:rsidR="00492526" w:rsidRDefault="006A168F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 гербициды неизбирательного действия;</w:t>
      </w:r>
    </w:p>
    <w:p w:rsidR="00492526" w:rsidRDefault="006A168F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 гербициды против двудольных сорняков;</w:t>
      </w:r>
    </w:p>
    <w:p w:rsidR="00492526" w:rsidRDefault="006A168F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подходят гербициды против однодольных.</w:t>
      </w:r>
    </w:p>
    <w:p w:rsidR="00492526" w:rsidRDefault="006A168F">
      <w:pPr>
        <w:spacing w:line="283" w:lineRule="atLeast"/>
        <w:ind w:firstLine="709"/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>по регламенту применения</w:t>
      </w:r>
      <w:r>
        <w:rPr>
          <w:i/>
          <w:iCs/>
          <w:sz w:val="28"/>
          <w:szCs w:val="28"/>
        </w:rPr>
        <w:t xml:space="preserve"> на основе действующих веществ:</w:t>
      </w:r>
    </w:p>
    <w:p w:rsidR="00492526" w:rsidRDefault="006A168F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глифосата кислоты (калийная, натриевая, изопропиламинная соли);</w:t>
      </w:r>
    </w:p>
    <w:p w:rsidR="00492526" w:rsidRDefault="006A168F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дикамбы кислоты (и смесевые);</w:t>
      </w:r>
    </w:p>
    <w:p w:rsidR="00492526" w:rsidRDefault="006A168F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имазамокса, имазапира (и смесевые);</w:t>
      </w:r>
    </w:p>
    <w:p w:rsidR="00492526" w:rsidRDefault="006A168F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пиклорама;</w:t>
      </w:r>
    </w:p>
    <w:p w:rsidR="00492526" w:rsidRDefault="006A168F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МЦПА;</w:t>
      </w:r>
    </w:p>
    <w:p w:rsidR="00492526" w:rsidRDefault="006A168F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сульфонилмочевины (метсульфурон-метил, сульфометурон-метила кислота (калиевая соль) и др.).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Коммерческие названия препаратов на основе данных действующих веществ и их смесей и рекомендуемые нормы их применения имеются в официальном Реестре пестицидов и агр</w:t>
      </w:r>
      <w:r>
        <w:rPr>
          <w:sz w:val="28"/>
          <w:szCs w:val="28"/>
        </w:rPr>
        <w:t>охимикатов.</w:t>
      </w:r>
    </w:p>
    <w:p w:rsidR="00492526" w:rsidRDefault="00492526">
      <w:pPr>
        <w:spacing w:line="283" w:lineRule="atLeast"/>
        <w:ind w:firstLine="709"/>
        <w:jc w:val="both"/>
        <w:rPr>
          <w:sz w:val="28"/>
          <w:szCs w:val="28"/>
        </w:rPr>
      </w:pPr>
    </w:p>
    <w:p w:rsidR="00492526" w:rsidRDefault="006A168F">
      <w:pPr>
        <w:widowControl w:val="0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Выбирается одна из схем применения гербицидов:</w:t>
      </w:r>
    </w:p>
    <w:p w:rsidR="00492526" w:rsidRDefault="006A168F">
      <w:pPr>
        <w:tabs>
          <w:tab w:val="left" w:pos="1260"/>
        </w:tabs>
        <w:spacing w:line="283" w:lineRule="atLeast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Двукратная обработка очагов:</w:t>
      </w:r>
    </w:p>
    <w:p w:rsidR="00492526" w:rsidRDefault="006A168F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обработка проводится в весенне-летний период: одним из гербицидов на основе калийной соли глифосата кислоты. </w:t>
      </w:r>
    </w:p>
    <w:p w:rsidR="00492526" w:rsidRDefault="006A168F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Вторая обработка осуществляется в летне-осенний</w:t>
      </w:r>
      <w:r>
        <w:rPr>
          <w:sz w:val="28"/>
          <w:szCs w:val="28"/>
        </w:rPr>
        <w:t xml:space="preserve"> период: одним из гербицидов на основе изопропиламинной соли глифосата кислоты или на основе дикамбы.</w:t>
      </w:r>
    </w:p>
    <w:p w:rsidR="00492526" w:rsidRDefault="006A168F">
      <w:pPr>
        <w:tabs>
          <w:tab w:val="left" w:pos="1260"/>
        </w:tabs>
        <w:spacing w:line="283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2. Однократная обработка очагов (выбирается в зависимости от категории земельного участка и севооборота в соответствии с регламентами применения для каждо</w:t>
      </w:r>
      <w:r>
        <w:rPr>
          <w:b/>
          <w:sz w:val="28"/>
          <w:szCs w:val="28"/>
          <w:u w:val="single"/>
        </w:rPr>
        <w:t>го гербицида)</w:t>
      </w:r>
      <w:r>
        <w:rPr>
          <w:sz w:val="28"/>
          <w:szCs w:val="28"/>
        </w:rPr>
        <w:t>:</w:t>
      </w:r>
    </w:p>
    <w:p w:rsidR="00492526" w:rsidRDefault="006A168F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 баковой смесью гербицида на основе метсульфурон–метила и одним из гербицидов на основе солей глифосата кислоты;</w:t>
      </w:r>
    </w:p>
    <w:p w:rsidR="00492526" w:rsidRDefault="006A168F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 баковой смесью гербицида на основе метсульфурон-метила и гербицида на основе МЦПА;</w:t>
      </w:r>
    </w:p>
    <w:p w:rsidR="00492526" w:rsidRDefault="006A168F">
      <w:pPr>
        <w:pStyle w:val="a4"/>
        <w:spacing w:line="283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2.3 баковой смесью гербицида на основе</w:t>
      </w:r>
      <w:r>
        <w:rPr>
          <w:sz w:val="28"/>
          <w:szCs w:val="28"/>
        </w:rPr>
        <w:t xml:space="preserve"> метсульфурон-метила и гербицида на основе МЦПА + пиклорам. 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3. Обработка сенокосных угодий </w:t>
      </w:r>
      <w:r>
        <w:rPr>
          <w:sz w:val="28"/>
          <w:szCs w:val="28"/>
        </w:rPr>
        <w:t>гербицидами на основе дикамбы.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используемых гербицидов, нормы применения, время обработки и кратность устанавливаются в зависимости от предшествующей, выращиваемой и последующей культур согласно регламентам применения, включенным в Государственный реестр пестицидов и агрохи</w:t>
      </w:r>
      <w:r>
        <w:rPr>
          <w:sz w:val="28"/>
          <w:szCs w:val="28"/>
        </w:rPr>
        <w:t>микатов.</w:t>
      </w:r>
    </w:p>
    <w:p w:rsidR="00492526" w:rsidRDefault="00492526">
      <w:pPr>
        <w:spacing w:line="283" w:lineRule="atLeast"/>
        <w:ind w:firstLine="709"/>
        <w:jc w:val="both"/>
        <w:rPr>
          <w:sz w:val="28"/>
          <w:szCs w:val="28"/>
        </w:rPr>
      </w:pPr>
    </w:p>
    <w:p w:rsidR="00492526" w:rsidRDefault="006A168F">
      <w:pPr>
        <w:pStyle w:val="a7"/>
        <w:spacing w:before="0" w:after="0" w:line="283" w:lineRule="atLeast"/>
        <w:rPr>
          <w:szCs w:val="28"/>
          <w:lang w:val="ru-RU"/>
        </w:rPr>
      </w:pPr>
      <w:bookmarkStart w:id="6" w:name="_Toc234595557"/>
      <w:r>
        <w:rPr>
          <w:szCs w:val="28"/>
          <w:lang w:val="ru-RU"/>
        </w:rPr>
        <w:t>Агротехнические и механические мероприятия</w:t>
      </w:r>
      <w:bookmarkEnd w:id="6"/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Скашивание и выкапывание проводится на территориях, имеющих ограничения применения гербицидов (водоохранные зоны, места отдыха людей, и др.) или там, где химическая обработка не проведена в срок. Скашива</w:t>
      </w:r>
      <w:r>
        <w:rPr>
          <w:sz w:val="28"/>
          <w:szCs w:val="28"/>
        </w:rPr>
        <w:t>ние повторяют в летний период не реже, чем 1 раз в 14 дней до полного уничтожения зарослей.</w:t>
      </w:r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территориях сельскохозяйственных предприятий (где возможно применение сельскохозяйственной техники), проводят вспашку и дискование для полного уничтожения вегети</w:t>
      </w:r>
      <w:r>
        <w:rPr>
          <w:sz w:val="28"/>
          <w:szCs w:val="28"/>
        </w:rPr>
        <w:t>рующих растений борщевика Сосновского.</w:t>
      </w:r>
    </w:p>
    <w:p w:rsidR="00492526" w:rsidRDefault="00492526">
      <w:pPr>
        <w:spacing w:line="283" w:lineRule="atLeast"/>
        <w:ind w:firstLine="709"/>
        <w:jc w:val="both"/>
        <w:rPr>
          <w:sz w:val="28"/>
          <w:szCs w:val="28"/>
        </w:rPr>
      </w:pPr>
    </w:p>
    <w:p w:rsidR="00492526" w:rsidRDefault="006A168F">
      <w:pPr>
        <w:pStyle w:val="1"/>
        <w:spacing w:beforeAutospacing="0" w:afterAutospacing="0" w:line="283" w:lineRule="atLeast"/>
        <w:rPr>
          <w:sz w:val="28"/>
          <w:szCs w:val="28"/>
          <w:lang w:val="ru-RU"/>
        </w:rPr>
      </w:pPr>
      <w:bookmarkStart w:id="7" w:name="_Toc234595559"/>
      <w:r>
        <w:rPr>
          <w:sz w:val="28"/>
          <w:szCs w:val="28"/>
          <w:lang w:val="ru-RU"/>
        </w:rPr>
        <w:t>Меры безопасности</w:t>
      </w:r>
      <w:bookmarkEnd w:id="7"/>
    </w:p>
    <w:p w:rsidR="00492526" w:rsidRDefault="006A168F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борьбе с борщевиком Сосновского необходимо проводить в специальной одежде и с использованием средств индивидуальной защиты (водонепроницаемый костюм с капюшоном, резиновые сапоги и пе</w:t>
      </w:r>
      <w:r>
        <w:rPr>
          <w:sz w:val="28"/>
          <w:szCs w:val="28"/>
        </w:rPr>
        <w:t>рчатки с высокой манжетой для защиты запястий рук, защитные очки, респираторы или маски). Мероприятия проводят в ранние часы или вечером. В случае попадания сока борщевика Сосновского на кожу необходимо как можно скорее промыть ее водой с мылом и исключить</w:t>
      </w:r>
      <w:r>
        <w:rPr>
          <w:sz w:val="28"/>
          <w:szCs w:val="28"/>
        </w:rPr>
        <w:t xml:space="preserve"> пребывание на солнце на 1–3 суток. В случае проявления ожогов следует обратиться к врачу.</w:t>
      </w:r>
    </w:p>
    <w:sectPr w:rsidR="00492526">
      <w:footerReference w:type="default" r:id="rId12"/>
      <w:pgSz w:w="11906" w:h="16838"/>
      <w:pgMar w:top="1134" w:right="991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68F" w:rsidRDefault="006A168F">
      <w:r>
        <w:separator/>
      </w:r>
    </w:p>
  </w:endnote>
  <w:endnote w:type="continuationSeparator" w:id="0">
    <w:p w:rsidR="006A168F" w:rsidRDefault="006A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568011"/>
      <w:docPartObj>
        <w:docPartGallery w:val="Page Numbers (Bottom of Page)"/>
        <w:docPartUnique/>
      </w:docPartObj>
    </w:sdtPr>
    <w:sdtEndPr/>
    <w:sdtContent>
      <w:p w:rsidR="00492526" w:rsidRDefault="006A168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934" w:rsidRPr="00170934">
          <w:rPr>
            <w:noProof/>
            <w:lang w:val="ru-RU"/>
          </w:rPr>
          <w:t>3</w:t>
        </w:r>
        <w:r>
          <w:fldChar w:fldCharType="end"/>
        </w:r>
      </w:p>
    </w:sdtContent>
  </w:sdt>
  <w:p w:rsidR="00492526" w:rsidRDefault="0049252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68F" w:rsidRDefault="006A168F">
      <w:r>
        <w:separator/>
      </w:r>
    </w:p>
  </w:footnote>
  <w:footnote w:type="continuationSeparator" w:id="0">
    <w:p w:rsidR="006A168F" w:rsidRDefault="006A1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BF4"/>
    <w:multiLevelType w:val="multilevel"/>
    <w:tmpl w:val="EB584E52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0"/>
      <w:lvlText w:val="%1.%2."/>
      <w:lvlJc w:val="left"/>
      <w:pPr>
        <w:tabs>
          <w:tab w:val="num" w:pos="756"/>
        </w:tabs>
        <w:ind w:left="756" w:hanging="576"/>
      </w:pPr>
      <w:rPr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5663CA"/>
    <w:multiLevelType w:val="hybridMultilevel"/>
    <w:tmpl w:val="2F622466"/>
    <w:lvl w:ilvl="0" w:tplc="BAEA2CBE">
      <w:start w:val="1"/>
      <w:numFmt w:val="decimal"/>
      <w:lvlText w:val="%1."/>
      <w:lvlJc w:val="left"/>
      <w:pPr>
        <w:ind w:left="1429" w:hanging="360"/>
      </w:pPr>
    </w:lvl>
    <w:lvl w:ilvl="1" w:tplc="F0023BA4">
      <w:start w:val="1"/>
      <w:numFmt w:val="lowerLetter"/>
      <w:lvlText w:val="%2."/>
      <w:lvlJc w:val="left"/>
      <w:pPr>
        <w:ind w:left="2149" w:hanging="360"/>
      </w:pPr>
    </w:lvl>
    <w:lvl w:ilvl="2" w:tplc="63985592">
      <w:start w:val="1"/>
      <w:numFmt w:val="lowerRoman"/>
      <w:lvlText w:val="%3."/>
      <w:lvlJc w:val="right"/>
      <w:pPr>
        <w:ind w:left="2869" w:hanging="180"/>
      </w:pPr>
    </w:lvl>
    <w:lvl w:ilvl="3" w:tplc="5A8E5C82">
      <w:start w:val="1"/>
      <w:numFmt w:val="decimal"/>
      <w:lvlText w:val="%4."/>
      <w:lvlJc w:val="left"/>
      <w:pPr>
        <w:ind w:left="3589" w:hanging="360"/>
      </w:pPr>
    </w:lvl>
    <w:lvl w:ilvl="4" w:tplc="5638F8E2">
      <w:start w:val="1"/>
      <w:numFmt w:val="lowerLetter"/>
      <w:lvlText w:val="%5."/>
      <w:lvlJc w:val="left"/>
      <w:pPr>
        <w:ind w:left="4309" w:hanging="360"/>
      </w:pPr>
    </w:lvl>
    <w:lvl w:ilvl="5" w:tplc="9A4E0C7C">
      <w:start w:val="1"/>
      <w:numFmt w:val="lowerRoman"/>
      <w:lvlText w:val="%6."/>
      <w:lvlJc w:val="right"/>
      <w:pPr>
        <w:ind w:left="5029" w:hanging="180"/>
      </w:pPr>
    </w:lvl>
    <w:lvl w:ilvl="6" w:tplc="731EBB24">
      <w:start w:val="1"/>
      <w:numFmt w:val="decimal"/>
      <w:lvlText w:val="%7."/>
      <w:lvlJc w:val="left"/>
      <w:pPr>
        <w:ind w:left="5749" w:hanging="360"/>
      </w:pPr>
    </w:lvl>
    <w:lvl w:ilvl="7" w:tplc="C2DE48A2">
      <w:start w:val="1"/>
      <w:numFmt w:val="lowerLetter"/>
      <w:lvlText w:val="%8."/>
      <w:lvlJc w:val="left"/>
      <w:pPr>
        <w:ind w:left="6469" w:hanging="360"/>
      </w:pPr>
    </w:lvl>
    <w:lvl w:ilvl="8" w:tplc="E0B2A334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C9245C"/>
    <w:multiLevelType w:val="hybridMultilevel"/>
    <w:tmpl w:val="2FA8CED8"/>
    <w:lvl w:ilvl="0" w:tplc="3BFA6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4CCD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83AF6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762CC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EBEDA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64420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C0DC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166E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2E679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98A6E6C"/>
    <w:multiLevelType w:val="hybridMultilevel"/>
    <w:tmpl w:val="F48681D4"/>
    <w:lvl w:ilvl="0" w:tplc="9F88B06A">
      <w:start w:val="1"/>
      <w:numFmt w:val="bullet"/>
      <w:lvlText w:val="-"/>
      <w:lvlJc w:val="left"/>
      <w:pPr>
        <w:ind w:left="1429" w:hanging="360"/>
      </w:pPr>
      <w:rPr>
        <w:rFonts w:ascii="Courier New" w:hAnsi="Courier New"/>
      </w:rPr>
    </w:lvl>
    <w:lvl w:ilvl="1" w:tplc="66183A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18E772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1E393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89E3B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36746DF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2A81CC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C60AC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6DC0E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A833F2F"/>
    <w:multiLevelType w:val="hybridMultilevel"/>
    <w:tmpl w:val="3B523998"/>
    <w:lvl w:ilvl="0" w:tplc="FA34337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990E4F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C867E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DABC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6AAC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681F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84ADD6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D4CE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2890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08260F"/>
    <w:multiLevelType w:val="hybridMultilevel"/>
    <w:tmpl w:val="999A36E8"/>
    <w:lvl w:ilvl="0" w:tplc="B2F859D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FB613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6D8AF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1C34C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C10A3C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DCB5F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CAEC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EEF01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9F824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08419F"/>
    <w:multiLevelType w:val="hybridMultilevel"/>
    <w:tmpl w:val="6D060386"/>
    <w:lvl w:ilvl="0" w:tplc="7EA03B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74E136E">
      <w:start w:val="1"/>
      <w:numFmt w:val="lowerLetter"/>
      <w:lvlText w:val="%2."/>
      <w:lvlJc w:val="left"/>
      <w:pPr>
        <w:ind w:left="1080" w:hanging="360"/>
      </w:pPr>
    </w:lvl>
    <w:lvl w:ilvl="2" w:tplc="A2AAEF94">
      <w:start w:val="1"/>
      <w:numFmt w:val="lowerRoman"/>
      <w:lvlText w:val="%3."/>
      <w:lvlJc w:val="right"/>
      <w:pPr>
        <w:ind w:left="1800" w:hanging="180"/>
      </w:pPr>
    </w:lvl>
    <w:lvl w:ilvl="3" w:tplc="7FDA2B92">
      <w:start w:val="1"/>
      <w:numFmt w:val="decimal"/>
      <w:lvlText w:val="%4."/>
      <w:lvlJc w:val="left"/>
      <w:pPr>
        <w:ind w:left="2520" w:hanging="360"/>
      </w:pPr>
    </w:lvl>
    <w:lvl w:ilvl="4" w:tplc="0B0AE4A4">
      <w:start w:val="1"/>
      <w:numFmt w:val="lowerLetter"/>
      <w:lvlText w:val="%5."/>
      <w:lvlJc w:val="left"/>
      <w:pPr>
        <w:ind w:left="3240" w:hanging="360"/>
      </w:pPr>
    </w:lvl>
    <w:lvl w:ilvl="5" w:tplc="FF064EB8">
      <w:start w:val="1"/>
      <w:numFmt w:val="lowerRoman"/>
      <w:lvlText w:val="%6."/>
      <w:lvlJc w:val="right"/>
      <w:pPr>
        <w:ind w:left="3960" w:hanging="180"/>
      </w:pPr>
    </w:lvl>
    <w:lvl w:ilvl="6" w:tplc="3A8693EA">
      <w:start w:val="1"/>
      <w:numFmt w:val="decimal"/>
      <w:lvlText w:val="%7."/>
      <w:lvlJc w:val="left"/>
      <w:pPr>
        <w:ind w:left="4680" w:hanging="360"/>
      </w:pPr>
    </w:lvl>
    <w:lvl w:ilvl="7" w:tplc="0332EFB0">
      <w:start w:val="1"/>
      <w:numFmt w:val="lowerLetter"/>
      <w:lvlText w:val="%8."/>
      <w:lvlJc w:val="left"/>
      <w:pPr>
        <w:ind w:left="5400" w:hanging="360"/>
      </w:pPr>
    </w:lvl>
    <w:lvl w:ilvl="8" w:tplc="C74686EA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27A15"/>
    <w:multiLevelType w:val="hybridMultilevel"/>
    <w:tmpl w:val="7656506C"/>
    <w:lvl w:ilvl="0" w:tplc="D4B48CD8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E5EE85B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7AA50E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6318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9F6061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2E0B7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C9429F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028EC5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0DECD9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BD5473B"/>
    <w:multiLevelType w:val="hybridMultilevel"/>
    <w:tmpl w:val="E4982D52"/>
    <w:lvl w:ilvl="0" w:tplc="33CC8936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40848E1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A1209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042269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062FB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2DAC4D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7A6DE5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97838DC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98A31F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8EF6FB9"/>
    <w:multiLevelType w:val="hybridMultilevel"/>
    <w:tmpl w:val="B1F0F368"/>
    <w:lvl w:ilvl="0" w:tplc="3FF295B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ECCE320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6C6322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2CA8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E64C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F9A37D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764E71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D5A776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3CEC3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E724D1"/>
    <w:multiLevelType w:val="hybridMultilevel"/>
    <w:tmpl w:val="561CED04"/>
    <w:lvl w:ilvl="0" w:tplc="8A08FD5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9D820A2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C08F31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E56BE3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C6A42E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B3A8F7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7E6952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04A2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2C89AF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4DE2CF5"/>
    <w:multiLevelType w:val="hybridMultilevel"/>
    <w:tmpl w:val="CD247BAC"/>
    <w:lvl w:ilvl="0" w:tplc="F0CEA4E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942F23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B20ABF9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418CC5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3864B9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874043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A3C0DF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AAFDE8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5668D6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39F314E"/>
    <w:multiLevelType w:val="hybridMultilevel"/>
    <w:tmpl w:val="8398F98E"/>
    <w:lvl w:ilvl="0" w:tplc="63761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7C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580E9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ECDC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03C42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7AA25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2C53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16EC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12876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57F1323"/>
    <w:multiLevelType w:val="hybridMultilevel"/>
    <w:tmpl w:val="A810E3B2"/>
    <w:lvl w:ilvl="0" w:tplc="6D1086F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0AA70C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A9600D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76C19A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412D70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DACB5E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8A0D5C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4382F7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4BC298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26"/>
    <w:rsid w:val="00170934"/>
    <w:rsid w:val="00492526"/>
    <w:rsid w:val="006A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center"/>
      <w:outlineLvl w:val="0"/>
    </w:pPr>
    <w:rPr>
      <w:b/>
      <w:bCs/>
      <w:sz w:val="32"/>
      <w:szCs w:val="48"/>
      <w:lang w:val="en-US" w:eastAsia="en-US"/>
    </w:rPr>
  </w:style>
  <w:style w:type="paragraph" w:styleId="21">
    <w:name w:val="heading 2"/>
    <w:basedOn w:val="a"/>
    <w:next w:val="a"/>
    <w:link w:val="22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120" w:after="120"/>
      <w:jc w:val="center"/>
      <w:outlineLvl w:val="1"/>
    </w:pPr>
    <w:rPr>
      <w:b/>
      <w:sz w:val="28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  <w:jc w:val="both"/>
    </w:pPr>
    <w:rPr>
      <w:b/>
    </w:rPr>
  </w:style>
  <w:style w:type="paragraph" w:styleId="25">
    <w:name w:val="toc 2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semiHidden/>
    <w:unhideWhenUsed/>
    <w:qFormat/>
    <w:pPr>
      <w:keepNext/>
      <w:keepLines/>
      <w:spacing w:before="480" w:beforeAutospacing="0" w:afterAutospacing="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13">
    <w:name w:val="Стиль таблицы1"/>
    <w:basedOn w:val="a1"/>
    <w:tblPr/>
  </w:style>
  <w:style w:type="table" w:customStyle="1" w:styleId="26">
    <w:name w:val="Стиль таблицы2"/>
    <w:basedOn w:val="33"/>
    <w:tblPr/>
  </w:style>
  <w:style w:type="table" w:customStyle="1" w:styleId="34">
    <w:name w:val="Стиль таблицы3"/>
    <w:basedOn w:val="-3"/>
    <w:tblPr/>
  </w:style>
  <w:style w:type="table" w:styleId="33">
    <w:name w:val="Table Simple 3"/>
    <w:basedOn w:val="a1"/>
    <w:tblPr/>
  </w:style>
  <w:style w:type="paragraph" w:styleId="afa">
    <w:name w:val="Body Text Indent"/>
    <w:basedOn w:val="a"/>
    <w:link w:val="afb"/>
    <w:pPr>
      <w:ind w:left="312" w:hanging="312"/>
      <w:jc w:val="both"/>
    </w:pPr>
    <w:rPr>
      <w:sz w:val="28"/>
      <w:szCs w:val="20"/>
      <w:lang w:val="en-US" w:eastAsia="en-US"/>
    </w:rPr>
  </w:style>
  <w:style w:type="table" w:styleId="-3">
    <w:name w:val="Table Web 3"/>
    <w:basedOn w:val="a1"/>
    <w:tblPr/>
  </w:style>
  <w:style w:type="character" w:customStyle="1" w:styleId="afb">
    <w:name w:val="Основной текст с отступом Знак"/>
    <w:link w:val="afa"/>
    <w:rPr>
      <w:sz w:val="28"/>
      <w:lang w:eastAsia="en-US"/>
    </w:rPr>
  </w:style>
  <w:style w:type="character" w:customStyle="1" w:styleId="10">
    <w:name w:val="Заголовок 1 Знак"/>
    <w:link w:val="1"/>
    <w:uiPriority w:val="9"/>
    <w:rPr>
      <w:b/>
      <w:bCs/>
      <w:sz w:val="32"/>
      <w:szCs w:val="48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c">
    <w:name w:val="Balloon Text"/>
    <w:basedOn w:val="a"/>
    <w:link w:val="afd"/>
    <w:semiHidden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semiHidden/>
    <w:rPr>
      <w:rFonts w:ascii="Tahoma" w:hAnsi="Tahoma" w:cs="Tahoma"/>
      <w:sz w:val="16"/>
      <w:szCs w:val="16"/>
    </w:rPr>
  </w:style>
  <w:style w:type="character" w:styleId="afe">
    <w:name w:val="annotation reference"/>
    <w:semiHidden/>
    <w:rPr>
      <w:sz w:val="16"/>
      <w:szCs w:val="16"/>
    </w:rPr>
  </w:style>
  <w:style w:type="paragraph" w:styleId="aff">
    <w:name w:val="annotation text"/>
    <w:basedOn w:val="a"/>
    <w:link w:val="aff0"/>
    <w:semiHidden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</w:style>
  <w:style w:type="paragraph" w:styleId="aff1">
    <w:name w:val="annotation subject"/>
    <w:basedOn w:val="aff"/>
    <w:next w:val="aff"/>
    <w:link w:val="aff2"/>
    <w:semiHidden/>
    <w:rPr>
      <w:b/>
      <w:bCs/>
      <w:lang w:val="en-US" w:eastAsia="en-US"/>
    </w:rPr>
  </w:style>
  <w:style w:type="character" w:customStyle="1" w:styleId="aff2">
    <w:name w:val="Тема примечания Знак"/>
    <w:link w:val="aff1"/>
    <w:semiHidden/>
    <w:rPr>
      <w:b/>
      <w:bCs/>
    </w:rPr>
  </w:style>
  <w:style w:type="paragraph" w:customStyle="1" w:styleId="aff3">
    <w:name w:val="Знак"/>
    <w:basedOn w:val="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">
    <w:name w:val="Стиль2"/>
    <w:basedOn w:val="20"/>
    <w:pPr>
      <w:keepNext/>
      <w:keepLines/>
      <w:widowControl w:val="0"/>
      <w:numPr>
        <w:ilvl w:val="0"/>
      </w:numPr>
      <w:suppressLineNumbers/>
      <w:tabs>
        <w:tab w:val="clear" w:pos="432"/>
        <w:tab w:val="num" w:pos="756"/>
      </w:tabs>
      <w:spacing w:after="60"/>
      <w:ind w:left="756" w:hanging="576"/>
      <w:jc w:val="both"/>
    </w:pPr>
    <w:rPr>
      <w:b/>
      <w:sz w:val="24"/>
    </w:rPr>
  </w:style>
  <w:style w:type="paragraph" w:styleId="20">
    <w:name w:val="List Number 2"/>
    <w:basedOn w:val="a"/>
    <w:pPr>
      <w:numPr>
        <w:ilvl w:val="1"/>
        <w:numId w:val="4"/>
      </w:numPr>
      <w:tabs>
        <w:tab w:val="clear" w:pos="756"/>
        <w:tab w:val="num" w:pos="432"/>
      </w:tabs>
      <w:ind w:left="432" w:hanging="432"/>
    </w:pPr>
    <w:rPr>
      <w:sz w:val="20"/>
      <w:szCs w:val="20"/>
    </w:rPr>
  </w:style>
  <w:style w:type="paragraph" w:customStyle="1" w:styleId="3">
    <w:name w:val="Стиль3"/>
    <w:basedOn w:val="27"/>
    <w:pPr>
      <w:widowControl w:val="0"/>
      <w:numPr>
        <w:ilvl w:val="2"/>
        <w:numId w:val="4"/>
      </w:numPr>
      <w:spacing w:after="0" w:line="240" w:lineRule="auto"/>
      <w:jc w:val="both"/>
    </w:pPr>
    <w:rPr>
      <w:szCs w:val="20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lang w:val="en-US" w:eastAsia="en-US"/>
    </w:rPr>
  </w:style>
  <w:style w:type="character" w:customStyle="1" w:styleId="28">
    <w:name w:val="Основной текст с отступом 2 Знак"/>
    <w:link w:val="27"/>
    <w:rPr>
      <w:sz w:val="24"/>
      <w:szCs w:val="24"/>
    </w:rPr>
  </w:style>
  <w:style w:type="paragraph" w:styleId="aff4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postbody1">
    <w:name w:val="postbody1"/>
    <w:rPr>
      <w:sz w:val="30"/>
      <w:szCs w:val="30"/>
    </w:rPr>
  </w:style>
  <w:style w:type="numbering" w:customStyle="1" w:styleId="14">
    <w:name w:val="Стиль1"/>
  </w:style>
  <w:style w:type="numbering" w:customStyle="1" w:styleId="43">
    <w:name w:val="Стиль4"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rFonts w:eastAsia="Times New Roman" w:cs="Times New Roman"/>
      <w:b/>
      <w:sz w:val="28"/>
      <w:szCs w:val="24"/>
    </w:rPr>
  </w:style>
  <w:style w:type="character" w:customStyle="1" w:styleId="22">
    <w:name w:val="Заголовок 2 Знак"/>
    <w:link w:val="21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oindent">
    <w:name w:val="noindent"/>
    <w:basedOn w:val="a"/>
    <w:pPr>
      <w:spacing w:before="100" w:beforeAutospacing="1" w:after="100" w:afterAutospacing="1"/>
    </w:p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paragraph" w:customStyle="1" w:styleId="aff7">
    <w:name w:val="Структурный элемент заголовок"/>
    <w:basedOn w:val="a"/>
    <w:next w:val="a"/>
    <w:link w:val="aff8"/>
    <w:qFormat/>
    <w:pPr>
      <w:shd w:val="clear" w:color="auto" w:fill="FFFFFF"/>
      <w:tabs>
        <w:tab w:val="left" w:pos="1195"/>
      </w:tabs>
      <w:spacing w:before="120" w:after="120" w:line="360" w:lineRule="auto"/>
      <w:jc w:val="center"/>
      <w:outlineLvl w:val="0"/>
    </w:pPr>
    <w:rPr>
      <w:b/>
      <w:color w:val="000000"/>
      <w:sz w:val="28"/>
      <w:szCs w:val="28"/>
      <w:lang w:eastAsia="ar-SA"/>
    </w:rPr>
  </w:style>
  <w:style w:type="character" w:customStyle="1" w:styleId="aff8">
    <w:name w:val="Структурный элемент заголовок Знак"/>
    <w:link w:val="aff7"/>
    <w:rPr>
      <w:b/>
      <w:color w:val="000000"/>
      <w:sz w:val="28"/>
      <w:szCs w:val="28"/>
      <w:shd w:val="clear" w:color="auto" w:fill="FFFFF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center"/>
      <w:outlineLvl w:val="0"/>
    </w:pPr>
    <w:rPr>
      <w:b/>
      <w:bCs/>
      <w:sz w:val="32"/>
      <w:szCs w:val="48"/>
      <w:lang w:val="en-US" w:eastAsia="en-US"/>
    </w:rPr>
  </w:style>
  <w:style w:type="paragraph" w:styleId="21">
    <w:name w:val="heading 2"/>
    <w:basedOn w:val="a"/>
    <w:next w:val="a"/>
    <w:link w:val="22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120" w:after="120"/>
      <w:jc w:val="center"/>
      <w:outlineLvl w:val="1"/>
    </w:pPr>
    <w:rPr>
      <w:b/>
      <w:sz w:val="28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  <w:jc w:val="both"/>
    </w:pPr>
    <w:rPr>
      <w:b/>
    </w:rPr>
  </w:style>
  <w:style w:type="paragraph" w:styleId="25">
    <w:name w:val="toc 2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semiHidden/>
    <w:unhideWhenUsed/>
    <w:qFormat/>
    <w:pPr>
      <w:keepNext/>
      <w:keepLines/>
      <w:spacing w:before="480" w:beforeAutospacing="0" w:afterAutospacing="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13">
    <w:name w:val="Стиль таблицы1"/>
    <w:basedOn w:val="a1"/>
    <w:tblPr/>
  </w:style>
  <w:style w:type="table" w:customStyle="1" w:styleId="26">
    <w:name w:val="Стиль таблицы2"/>
    <w:basedOn w:val="33"/>
    <w:tblPr/>
  </w:style>
  <w:style w:type="table" w:customStyle="1" w:styleId="34">
    <w:name w:val="Стиль таблицы3"/>
    <w:basedOn w:val="-3"/>
    <w:tblPr/>
  </w:style>
  <w:style w:type="table" w:styleId="33">
    <w:name w:val="Table Simple 3"/>
    <w:basedOn w:val="a1"/>
    <w:tblPr/>
  </w:style>
  <w:style w:type="paragraph" w:styleId="afa">
    <w:name w:val="Body Text Indent"/>
    <w:basedOn w:val="a"/>
    <w:link w:val="afb"/>
    <w:pPr>
      <w:ind w:left="312" w:hanging="312"/>
      <w:jc w:val="both"/>
    </w:pPr>
    <w:rPr>
      <w:sz w:val="28"/>
      <w:szCs w:val="20"/>
      <w:lang w:val="en-US" w:eastAsia="en-US"/>
    </w:rPr>
  </w:style>
  <w:style w:type="table" w:styleId="-3">
    <w:name w:val="Table Web 3"/>
    <w:basedOn w:val="a1"/>
    <w:tblPr/>
  </w:style>
  <w:style w:type="character" w:customStyle="1" w:styleId="afb">
    <w:name w:val="Основной текст с отступом Знак"/>
    <w:link w:val="afa"/>
    <w:rPr>
      <w:sz w:val="28"/>
      <w:lang w:eastAsia="en-US"/>
    </w:rPr>
  </w:style>
  <w:style w:type="character" w:customStyle="1" w:styleId="10">
    <w:name w:val="Заголовок 1 Знак"/>
    <w:link w:val="1"/>
    <w:uiPriority w:val="9"/>
    <w:rPr>
      <w:b/>
      <w:bCs/>
      <w:sz w:val="32"/>
      <w:szCs w:val="48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c">
    <w:name w:val="Balloon Text"/>
    <w:basedOn w:val="a"/>
    <w:link w:val="afd"/>
    <w:semiHidden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semiHidden/>
    <w:rPr>
      <w:rFonts w:ascii="Tahoma" w:hAnsi="Tahoma" w:cs="Tahoma"/>
      <w:sz w:val="16"/>
      <w:szCs w:val="16"/>
    </w:rPr>
  </w:style>
  <w:style w:type="character" w:styleId="afe">
    <w:name w:val="annotation reference"/>
    <w:semiHidden/>
    <w:rPr>
      <w:sz w:val="16"/>
      <w:szCs w:val="16"/>
    </w:rPr>
  </w:style>
  <w:style w:type="paragraph" w:styleId="aff">
    <w:name w:val="annotation text"/>
    <w:basedOn w:val="a"/>
    <w:link w:val="aff0"/>
    <w:semiHidden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</w:style>
  <w:style w:type="paragraph" w:styleId="aff1">
    <w:name w:val="annotation subject"/>
    <w:basedOn w:val="aff"/>
    <w:next w:val="aff"/>
    <w:link w:val="aff2"/>
    <w:semiHidden/>
    <w:rPr>
      <w:b/>
      <w:bCs/>
      <w:lang w:val="en-US" w:eastAsia="en-US"/>
    </w:rPr>
  </w:style>
  <w:style w:type="character" w:customStyle="1" w:styleId="aff2">
    <w:name w:val="Тема примечания Знак"/>
    <w:link w:val="aff1"/>
    <w:semiHidden/>
    <w:rPr>
      <w:b/>
      <w:bCs/>
    </w:rPr>
  </w:style>
  <w:style w:type="paragraph" w:customStyle="1" w:styleId="aff3">
    <w:name w:val="Знак"/>
    <w:basedOn w:val="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">
    <w:name w:val="Стиль2"/>
    <w:basedOn w:val="20"/>
    <w:pPr>
      <w:keepNext/>
      <w:keepLines/>
      <w:widowControl w:val="0"/>
      <w:numPr>
        <w:ilvl w:val="0"/>
      </w:numPr>
      <w:suppressLineNumbers/>
      <w:tabs>
        <w:tab w:val="clear" w:pos="432"/>
        <w:tab w:val="num" w:pos="756"/>
      </w:tabs>
      <w:spacing w:after="60"/>
      <w:ind w:left="756" w:hanging="576"/>
      <w:jc w:val="both"/>
    </w:pPr>
    <w:rPr>
      <w:b/>
      <w:sz w:val="24"/>
    </w:rPr>
  </w:style>
  <w:style w:type="paragraph" w:styleId="20">
    <w:name w:val="List Number 2"/>
    <w:basedOn w:val="a"/>
    <w:pPr>
      <w:numPr>
        <w:ilvl w:val="1"/>
        <w:numId w:val="4"/>
      </w:numPr>
      <w:tabs>
        <w:tab w:val="clear" w:pos="756"/>
        <w:tab w:val="num" w:pos="432"/>
      </w:tabs>
      <w:ind w:left="432" w:hanging="432"/>
    </w:pPr>
    <w:rPr>
      <w:sz w:val="20"/>
      <w:szCs w:val="20"/>
    </w:rPr>
  </w:style>
  <w:style w:type="paragraph" w:customStyle="1" w:styleId="3">
    <w:name w:val="Стиль3"/>
    <w:basedOn w:val="27"/>
    <w:pPr>
      <w:widowControl w:val="0"/>
      <w:numPr>
        <w:ilvl w:val="2"/>
        <w:numId w:val="4"/>
      </w:numPr>
      <w:spacing w:after="0" w:line="240" w:lineRule="auto"/>
      <w:jc w:val="both"/>
    </w:pPr>
    <w:rPr>
      <w:szCs w:val="20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lang w:val="en-US" w:eastAsia="en-US"/>
    </w:rPr>
  </w:style>
  <w:style w:type="character" w:customStyle="1" w:styleId="28">
    <w:name w:val="Основной текст с отступом 2 Знак"/>
    <w:link w:val="27"/>
    <w:rPr>
      <w:sz w:val="24"/>
      <w:szCs w:val="24"/>
    </w:rPr>
  </w:style>
  <w:style w:type="paragraph" w:styleId="aff4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postbody1">
    <w:name w:val="postbody1"/>
    <w:rPr>
      <w:sz w:val="30"/>
      <w:szCs w:val="30"/>
    </w:rPr>
  </w:style>
  <w:style w:type="numbering" w:customStyle="1" w:styleId="14">
    <w:name w:val="Стиль1"/>
  </w:style>
  <w:style w:type="numbering" w:customStyle="1" w:styleId="43">
    <w:name w:val="Стиль4"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rFonts w:eastAsia="Times New Roman" w:cs="Times New Roman"/>
      <w:b/>
      <w:sz w:val="28"/>
      <w:szCs w:val="24"/>
    </w:rPr>
  </w:style>
  <w:style w:type="character" w:customStyle="1" w:styleId="22">
    <w:name w:val="Заголовок 2 Знак"/>
    <w:link w:val="21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oindent">
    <w:name w:val="noindent"/>
    <w:basedOn w:val="a"/>
    <w:pPr>
      <w:spacing w:before="100" w:beforeAutospacing="1" w:after="100" w:afterAutospacing="1"/>
    </w:p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paragraph" w:customStyle="1" w:styleId="aff7">
    <w:name w:val="Структурный элемент заголовок"/>
    <w:basedOn w:val="a"/>
    <w:next w:val="a"/>
    <w:link w:val="aff8"/>
    <w:qFormat/>
    <w:pPr>
      <w:shd w:val="clear" w:color="auto" w:fill="FFFFFF"/>
      <w:tabs>
        <w:tab w:val="left" w:pos="1195"/>
      </w:tabs>
      <w:spacing w:before="120" w:after="120" w:line="360" w:lineRule="auto"/>
      <w:jc w:val="center"/>
      <w:outlineLvl w:val="0"/>
    </w:pPr>
    <w:rPr>
      <w:b/>
      <w:color w:val="000000"/>
      <w:sz w:val="28"/>
      <w:szCs w:val="28"/>
      <w:lang w:eastAsia="ar-SA"/>
    </w:rPr>
  </w:style>
  <w:style w:type="character" w:customStyle="1" w:styleId="aff8">
    <w:name w:val="Структурный элемент заголовок Знак"/>
    <w:link w:val="aff7"/>
    <w:rPr>
      <w:b/>
      <w:color w:val="000000"/>
      <w:sz w:val="28"/>
      <w:szCs w:val="28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B60D2-A2D3-4FB1-B1FA-A6DD0049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ФГУ Россельхозцентра по МО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Воронкова</dc:creator>
  <cp:lastModifiedBy>SelskoeH</cp:lastModifiedBy>
  <cp:revision>2</cp:revision>
  <dcterms:created xsi:type="dcterms:W3CDTF">2026-07-22T06:03:00Z</dcterms:created>
  <dcterms:modified xsi:type="dcterms:W3CDTF">2026-07-22T06:03:00Z</dcterms:modified>
  <cp:version>983040</cp:version>
</cp:coreProperties>
</file>