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Приложение №1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 решению Совета депутатов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городского округа Клин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от 11.02.2022 № 6/107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к Положению о муниципальном контроле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за исполнением единой теплоснабжающей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организацией обязательств по строительству,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реконструкции и (или) модернизации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объектов теплоснабжения на территории 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городского округа Клин Московской области</w:t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ind w:left="-113"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left" w:pos="822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Форма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Программы профилактики рисков причинения вреда (ущерба) охраняемым законом ценностям на 20__ год в сфере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cs="Times New Roman" w:ascii="Times New Roman" w:hAnsi="Times New Roman"/>
          <w:b/>
          <w:spacing w:val="2"/>
          <w:sz w:val="26"/>
          <w:szCs w:val="26"/>
        </w:rPr>
        <w:t xml:space="preserve">в </w:t>
      </w:r>
      <w:r>
        <w:rPr>
          <w:rFonts w:cs="Times New Roman" w:ascii="Times New Roman" w:hAnsi="Times New Roman"/>
          <w:b/>
          <w:sz w:val="26"/>
          <w:szCs w:val="26"/>
        </w:rPr>
        <w:t xml:space="preserve">границах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городского округа Клин  Московской области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 на 20__ год в сфере муниципального контроля за исполнением единой теплоснабжающей организацией обязательств по стро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ительству, реконструкции и (или) модернизации объектов теплоснабжения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в </w:t>
      </w:r>
      <w:r>
        <w:rPr>
          <w:rFonts w:cs="Times New Roman" w:ascii="Times New Roman" w:hAnsi="Times New Roman"/>
          <w:sz w:val="26"/>
          <w:szCs w:val="26"/>
        </w:rPr>
        <w:t>границах городского округа Клин Московской области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Настоящая Программа разработана и подлежит исполнению Администрацией городского округа Клин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 Московской области (далее по тексту – Администрация).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1.</w:t>
      </w:r>
      <w:r>
        <w:rPr>
          <w:rFonts w:cs="Times New Roman" w:ascii="Times New Roman" w:hAnsi="Times New Roman"/>
          <w:b/>
          <w:sz w:val="26"/>
          <w:szCs w:val="26"/>
        </w:rPr>
        <w:t xml:space="preserve">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 Вид муниципального контроля: муниципальный контроль </w:t>
        <w:br/>
        <w:t xml:space="preserve">за исполнением единой теплоснабжающей организацией обязательств </w:t>
        <w:br/>
        <w:t>по строительству, реконструкции и (или) модернизации объектов теплоснабжения</w:t>
      </w:r>
      <w:r>
        <w:rPr>
          <w:rFonts w:cs="Times New Roman" w:ascii="Times New Roman" w:hAnsi="Times New Roman"/>
          <w:spacing w:val="2"/>
          <w:sz w:val="26"/>
          <w:szCs w:val="26"/>
        </w:rPr>
        <w:t xml:space="preserve"> в </w:t>
      </w:r>
      <w:r>
        <w:rPr>
          <w:rFonts w:cs="Times New Roman" w:ascii="Times New Roman" w:hAnsi="Times New Roman"/>
          <w:sz w:val="26"/>
          <w:szCs w:val="26"/>
        </w:rPr>
        <w:t>границах городского округа Клин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Московской области.</w:t>
      </w:r>
    </w:p>
    <w:p>
      <w:pPr>
        <w:pStyle w:val="ConsPlusNormal"/>
        <w:ind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Предметом муниципального контроля является соблюдение единой теплоснабжающей организацией (далее – контролируемые лица)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</w:t>
        <w:br/>
        <w:t xml:space="preserve">и энергетической эффективности системы теплоснабжения и определенных </w:t>
        <w:br/>
        <w:t xml:space="preserve">для нее в схеме теплоснабжения, требований Федерального закона от 27.07.2010 </w:t>
        <w:br/>
        <w:t>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>
      <w:pPr>
        <w:pStyle w:val="HTMLPreformatte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Администрацией за 2021 год проведено __ </w:t>
      </w:r>
      <w:r>
        <w:rPr>
          <w:i/>
          <w:sz w:val="26"/>
          <w:szCs w:val="26"/>
        </w:rPr>
        <w:t>(указывается количество проверок)</w:t>
      </w:r>
      <w:r>
        <w:rPr>
          <w:sz w:val="26"/>
          <w:szCs w:val="26"/>
        </w:rPr>
        <w:t xml:space="preserve"> проверок соблюдения действующего законодательства Российской Федерации в указанной сфере.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рамках профилактики рисков причинения вреда (ущерба) охраняемым законом ценностям Администрацией  в 2021 году осуществляются следующие мероприятия: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993" w:leader="none"/>
          <w:tab w:val="left" w:pos="1276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 _______ год Администрацией выдано __ </w:t>
      </w:r>
      <w:r>
        <w:rPr>
          <w:rFonts w:cs="Times New Roman" w:ascii="Times New Roman" w:hAnsi="Times New Roman"/>
          <w:i/>
          <w:sz w:val="26"/>
          <w:szCs w:val="26"/>
        </w:rPr>
        <w:t xml:space="preserve">(указывается количество предостережений) </w:t>
      </w:r>
      <w:r>
        <w:rPr>
          <w:rFonts w:cs="Times New Roman" w:ascii="Times New Roman" w:hAnsi="Times New Roman"/>
          <w:sz w:val="26"/>
          <w:szCs w:val="26"/>
        </w:rPr>
        <w:t>предостережений о недопустимости нарушения обязательных требований.*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*пункт «4)» указывается только в том случае, если предостережения выдавались.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000000"/>
          <w:sz w:val="28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  <w:shd w:fill="FFFFFF" w:val="clear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6) снижение размера вреда (ущерба),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 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положении о виде контроля с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color w:val="000000"/>
          <w:sz w:val="28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4"/>
          <w:shd w:fill="FFFFFF" w:val="clear"/>
        </w:rPr>
        <w:t>3. Перечень профилактических мероприятий, сроки (периодичность) их проведения</w:t>
      </w:r>
    </w:p>
    <w:tbl>
      <w:tblPr>
        <w:tblW w:w="9933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91"/>
        <w:gridCol w:w="4793"/>
        <w:gridCol w:w="1999"/>
        <w:gridCol w:w="2549"/>
      </w:tblGrid>
      <w:tr>
        <w:trPr>
          <w:trHeight w:val="1080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№ 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  <w:p>
            <w:pPr>
              <w:pStyle w:val="Normal"/>
              <w:widowControl w:val="false"/>
              <w:spacing w:before="0" w:after="200"/>
              <w:ind w:firstLine="567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мероприятия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 реализации мероприятия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Ответственное должностное лицо</w:t>
            </w:r>
          </w:p>
        </w:tc>
      </w:tr>
      <w:tr>
        <w:trPr>
          <w:trHeight w:val="2311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Информирование</w:t>
            </w:r>
          </w:p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483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Обобщение правоприменительной практики</w:t>
            </w:r>
          </w:p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ConsPlusNormal"/>
              <w:widowControl w:val="false"/>
              <w:ind w:firstLine="567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HTMLPreformatted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Ежегодно, не позднее 30 января года, следующего за годом обобщения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795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color w:val="000000"/>
              </w:rPr>
            </w:pPr>
            <w:r>
              <w:rPr>
                <w:rFonts w:eastAsia="Courier New" w:cs="Times New Roman" w:ascii="Times New Roman" w:hAnsi="Times New Roman"/>
                <w:color w:val="000000"/>
              </w:rPr>
              <w:t>3.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Объявление предостережения</w:t>
            </w:r>
          </w:p>
          <w:p>
            <w:pPr>
              <w:pStyle w:val="ConsPlusNormal"/>
              <w:widowControl w:val="false"/>
              <w:ind w:right="131" w:hanging="0"/>
              <w:jc w:val="both"/>
              <w:rPr/>
            </w:pPr>
            <w:r>
              <w:rPr/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200"/>
              <w:ind w:right="13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2257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Консультирование.</w:t>
            </w:r>
          </w:p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758" w:hRule="exac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right="131" w:firstLine="119"/>
              <w:jc w:val="both"/>
              <w:rPr/>
            </w:pPr>
            <w:r>
              <w:rPr/>
              <w:t>Профилактический визит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Обязательный профилактический визит: в случае отсутствия проведенных контрольных (надзорных) мероприятий в течение трех лет и более. В иных случаях: по мере необходимости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>
      <w:pPr>
        <w:pStyle w:val="Normal"/>
        <w:rPr>
          <w:rFonts w:ascii="Times New Roman" w:hAnsi="Times New Roman" w:eastAsia="PT Serif;Times New Roman" w:cs="Times New Roman"/>
          <w:color w:val="22272F"/>
          <w:sz w:val="23"/>
          <w:szCs w:val="23"/>
          <w:shd w:fill="FFFFFF" w:val="clear"/>
        </w:rPr>
      </w:pPr>
      <w:r>
        <w:rPr>
          <w:rFonts w:eastAsia="PT Serif;Times New Roman" w:cs="Times New Roman" w:ascii="Times New Roman" w:hAnsi="Times New Roman"/>
          <w:color w:val="22272F"/>
          <w:sz w:val="23"/>
          <w:szCs w:val="23"/>
          <w:shd w:fill="FFFFFF" w:val="clear"/>
        </w:rPr>
        <w:t xml:space="preserve"> 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4. Показатели результативности и эффективности Программы</w:t>
      </w:r>
    </w:p>
    <w:tbl>
      <w:tblPr>
        <w:tblW w:w="9933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90"/>
        <w:gridCol w:w="4500"/>
        <w:gridCol w:w="4843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Планируемый показатель</w:t>
            </w:r>
          </w:p>
        </w:tc>
      </w:tr>
      <w:tr>
        <w:trPr>
          <w:trHeight w:val="197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ConsPlusNormal"/>
              <w:widowControl w:val="false"/>
              <w:ind w:firstLine="119"/>
              <w:rPr/>
            </w:pPr>
            <w:r>
              <w:rPr/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>
            <w:pPr>
              <w:pStyle w:val="Normal"/>
              <w:widowControl w:val="false"/>
              <w:spacing w:before="0" w:after="20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100%</w:t>
            </w:r>
          </w:p>
        </w:tc>
      </w:tr>
      <w:tr>
        <w:trPr>
          <w:trHeight w:val="1530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Исполнено – 100 %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исполнено – 0%</w:t>
            </w:r>
          </w:p>
        </w:tc>
      </w:tr>
      <w:tr>
        <w:trPr>
          <w:trHeight w:val="93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200"/>
              <w:ind w:left="220" w:hanging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1007745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8" t="-830" r="-428" b="-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>где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Пэф - Итоговая оценка эффективности реализации Программы профилактики;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43865" cy="30797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48" t="-939" r="-648" b="-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сумма фактических значений показателей Программы профилактики по итогам календарного года;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 - общее количество показателей Программы профилактики.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оценка эффективности реализации Программы профилактики более 100 %, то считать Пэф равным 100 %.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9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552"/>
        <w:gridCol w:w="1843"/>
        <w:gridCol w:w="1842"/>
        <w:gridCol w:w="1983"/>
        <w:gridCol w:w="1470"/>
      </w:tblGrid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Выполнено </w:t>
              <w:br/>
              <w:t>от 51% до 70% профилактических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Выполнено от 71% до 80% профилактических мероприятий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Выполнено </w:t>
              <w:br/>
              <w:t>от 81% до 100% профилактических мероприятий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Низкий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>
      <w:pPr>
        <w:pStyle w:val="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320" w:right="566" w:header="0" w:top="426" w:footer="0" w:bottom="709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Courier New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58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765785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unhideWhenUsed/>
    <w:rsid w:val="007249a4"/>
    <w:rPr>
      <w:color w:val="0000FF" w:themeColor="hyperlink"/>
      <w:u w:val="single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a6944"/>
    <w:rPr>
      <w:sz w:val="20"/>
      <w:szCs w:val="20"/>
    </w:rPr>
  </w:style>
  <w:style w:type="character" w:styleId="Style17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aa6944"/>
    <w:rPr>
      <w:vertAlign w:val="superscript"/>
    </w:rPr>
  </w:style>
  <w:style w:type="character" w:styleId="WW8Num2z0" w:customStyle="1">
    <w:name w:val="WW8Num2z0"/>
    <w:qFormat/>
    <w:rPr>
      <w:sz w:val="28"/>
      <w:szCs w:val="24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ascii="Calibri" w:hAnsi="Calibri"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Lucida Sans"/>
    </w:rPr>
  </w:style>
  <w:style w:type="paragraph" w:styleId="BalloonText">
    <w:name w:val="Balloon Text"/>
    <w:basedOn w:val="Normal"/>
    <w:uiPriority w:val="99"/>
    <w:semiHidden/>
    <w:unhideWhenUsed/>
    <w:qFormat/>
    <w:rsid w:val="007657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7d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852b7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3">
    <w:name w:val="Footnote Text"/>
    <w:basedOn w:val="Normal"/>
    <w:uiPriority w:val="99"/>
    <w:semiHidden/>
    <w:unhideWhenUsed/>
    <w:rsid w:val="00aa6944"/>
    <w:pPr>
      <w:spacing w:lineRule="auto" w:line="240" w:before="0" w:after="0"/>
    </w:pPr>
    <w:rPr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f54f8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aa6944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a50ba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5388-9382-4DB4-B146-834E4F54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Application>LibreOffice/7.1.4.2$Windows_X86_64 LibreOffice_project/a529a4fab45b75fefc5b6226684193eb000654f6</Application>
  <AppVersion>15.0000</AppVersion>
  <Pages>5</Pages>
  <Words>1163</Words>
  <Characters>9301</Characters>
  <CharactersWithSpaces>12217</CharactersWithSpaces>
  <Paragraphs>106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2021-11-26T14:30:00Z</dcterms:created>
  <dc:creator>Сергей Зиберев</dc:creator>
  <dc:description/>
  <dc:language>ru-RU</dc:language>
  <cp:lastModifiedBy/>
  <cp:lastPrinted>2022-02-11T12:09:00Z</cp:lastPrinted>
  <dcterms:modified xsi:type="dcterms:W3CDTF">2022-02-14T11:10:13Z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