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914"/>
        <w:gridCol w:w="1417"/>
        <w:gridCol w:w="50"/>
        <w:gridCol w:w="25"/>
      </w:tblGrid>
      <w:tr w:rsidR="00B0120E" w:rsidRPr="00244DC5" w:rsidTr="005876FF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A556AE" w:rsidRPr="00CA5760" w:rsidRDefault="001F2B48" w:rsidP="00A556AE">
            <w:pPr>
              <w:pStyle w:val="aa"/>
              <w:spacing w:after="0"/>
              <w:ind w:firstLine="0"/>
              <w:rPr>
                <w:rFonts w:eastAsia="Droid Sans Fallback"/>
                <w:lang w:bidi="hi-IN"/>
              </w:rPr>
            </w:pPr>
            <w:r w:rsidRPr="005558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результатах проведенной </w:t>
            </w:r>
            <w:r w:rsidR="00A556AE" w:rsidRPr="00D16797">
              <w:rPr>
                <w:rFonts w:ascii="Times New Roman" w:hAnsi="Times New Roman" w:cs="Times New Roman"/>
                <w:sz w:val="26"/>
                <w:szCs w:val="26"/>
              </w:rPr>
              <w:t>плановой выездной проверки</w:t>
            </w:r>
          </w:p>
          <w:p w:rsidR="00A556AE" w:rsidRDefault="00A556AE" w:rsidP="00A556AE">
            <w:pPr>
              <w:pStyle w:val="aa"/>
              <w:spacing w:after="0"/>
              <w:ind w:firstLine="0"/>
              <w:rPr>
                <w:rFonts w:eastAsia="Droid Sans Fallback"/>
                <w:b/>
                <w:kern w:val="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Управления образования Администрации городского округа Клин </w:t>
            </w:r>
          </w:p>
          <w:p w:rsidR="00891EAD" w:rsidRPr="00A556AE" w:rsidRDefault="00891EAD" w:rsidP="00244DC5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x-none" w:eastAsia="ru-RU"/>
              </w:rPr>
            </w:pPr>
          </w:p>
        </w:tc>
      </w:tr>
      <w:tr w:rsidR="00B0120E" w:rsidRPr="0075666B" w:rsidTr="005876FF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6F3634" w:rsidRDefault="00B0120E" w:rsidP="008533C2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75666B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A556AE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</w:t>
            </w:r>
            <w:r w:rsidR="0075666B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09.2024 </w:t>
            </w:r>
            <w:r w:rsidR="0075666B" w:rsidRPr="006F3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75666B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56AE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75666B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75666B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1890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2E1CC2" w:rsidRPr="006F3634" w:rsidRDefault="00A556AE" w:rsidP="008533C2">
            <w:pPr>
              <w:shd w:val="clear" w:color="auto" w:fill="FFFFFF"/>
              <w:tabs>
                <w:tab w:val="left" w:pos="512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«</w:t>
            </w:r>
            <w:r w:rsidRPr="006F363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предоставления и использования субсидии на финансовое обеспечение выполнения муниципального задания, предоставленной из бюджета городского округа Клин Муниципальному общеобразовательному учреждению Лицей </w:t>
            </w:r>
            <w:r w:rsidRPr="006F3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F3634">
              <w:rPr>
                <w:rFonts w:ascii="Times New Roman" w:hAnsi="Times New Roman" w:cs="Times New Roman"/>
                <w:sz w:val="24"/>
                <w:szCs w:val="24"/>
              </w:rPr>
              <w:t>10 имени Д.И. Менделеева» в отношении Управления образования Администрации городского округа Клин»</w:t>
            </w:r>
            <w:r w:rsidR="006F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F3634" w:rsidRDefault="0084775B" w:rsidP="008533C2">
            <w:pPr>
              <w:shd w:val="clear" w:color="auto" w:fill="FFFFFF"/>
              <w:tabs>
                <w:tab w:val="left" w:pos="512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56AE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91EAD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891EAD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891EAD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551AC8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1AC8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изменениями, утвержденными распоряжением Администрации городского округа Клин от 30.05.2024 </w:t>
            </w:r>
            <w:r w:rsidR="00551AC8" w:rsidRPr="006F3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51AC8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182-р).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1469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F3634" w:rsidRDefault="00B0120E" w:rsidP="008533C2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711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A556AE" w:rsidRPr="006F3634" w:rsidRDefault="00A556AE" w:rsidP="008533C2">
            <w:pPr>
              <w:pStyle w:val="aa"/>
              <w:tabs>
                <w:tab w:val="left" w:pos="512"/>
              </w:tabs>
              <w:spacing w:after="0"/>
              <w:ind w:left="87" w:firstLine="0"/>
              <w:jc w:val="left"/>
              <w:rPr>
                <w:rFonts w:ascii="Times New Roman" w:eastAsia="Droid Sans Fallback" w:hAnsi="Times New Roman" w:cs="Times New Roman"/>
                <w:b/>
                <w:kern w:val="1"/>
                <w:lang w:bidi="hi-IN"/>
              </w:rPr>
            </w:pPr>
            <w:r w:rsidRPr="006F3634">
              <w:rPr>
                <w:rFonts w:ascii="Times New Roman" w:hAnsi="Times New Roman" w:cs="Times New Roman"/>
                <w:lang w:val="ru-RU" w:eastAsia="ru-RU"/>
              </w:rPr>
              <w:t xml:space="preserve">Управление образования Администрации городского округа Клин </w:t>
            </w:r>
          </w:p>
          <w:p w:rsidR="00B0120E" w:rsidRPr="006F3634" w:rsidRDefault="00B0120E" w:rsidP="008533C2">
            <w:pPr>
              <w:tabs>
                <w:tab w:val="left" w:pos="512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F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F3634" w:rsidRDefault="00681DC4" w:rsidP="008533C2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010A74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</w:t>
            </w:r>
            <w:r w:rsidR="00A556AE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A556AE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A556AE" w:rsidRPr="006F363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trHeight w:hRule="exact" w:val="546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F3634" w:rsidRDefault="00B0120E" w:rsidP="008533C2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53880" w:rsidTr="005876FF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F3634" w:rsidRDefault="00B0120E" w:rsidP="008533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75666B" w:rsidRPr="006F3634" w:rsidRDefault="0075666B" w:rsidP="008533C2">
            <w:pPr>
              <w:tabs>
                <w:tab w:val="left" w:pos="512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6AE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.10.2024 по </w:t>
            </w:r>
            <w:r w:rsidR="00A556AE"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09.12</w:t>
            </w:r>
            <w:r w:rsidRPr="006F36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.2024</w:t>
            </w:r>
          </w:p>
          <w:p w:rsidR="00B0120E" w:rsidRPr="006F3634" w:rsidRDefault="00B0120E" w:rsidP="008533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512"/>
              </w:tabs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53880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6E0473" w:rsidTr="005876FF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F91" w:rsidRPr="006E0473" w:rsidTr="005876FF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6E0473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gridAfter w:val="1"/>
          <w:wAfter w:w="25" w:type="dxa"/>
          <w:cantSplit/>
          <w:trHeight w:hRule="exact" w:val="61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63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3D1" w:rsidRPr="006E0473" w:rsidRDefault="00D843D1" w:rsidP="007E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gridAfter w:val="1"/>
          <w:wAfter w:w="25" w:type="dxa"/>
          <w:trHeight w:val="123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3634" w:rsidRPr="006F3634" w:rsidRDefault="006F3634" w:rsidP="008533C2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нарушение требований, установленных пунктом 1 статьи 158 Бюджетного кодекса Российской Федерации (далее - БК РФ), подпунктом 9 пункта 1 статьи 158 БК РФ, пункта 3 статьи 69.2 БК РФ, пунктов 3, 6 </w:t>
            </w:r>
            <w:r w:rsidRPr="006F36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Положения </w:t>
            </w: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формировании муниципального задания на оказание муниципальных услуг (выполнение работ) в отношении муниципальных учреждений городского округа Клин Московской области и финансовом обеспечении выполнения муниципального задания, утвержденного постановлением</w:t>
            </w:r>
            <w:proofErr w:type="gramEnd"/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городского округа Клин  (далее – ГОК) от 15.08.2022 N1491 (далее – Положение N1491),</w:t>
            </w:r>
            <w:r w:rsidRPr="006F36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пунктов 42 Положения N1491, а именно уполномоченным лицом Учредителя подведомственному Учреждению на 2023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сформировано и утверждено муниципальное задание, в котором:</w:t>
            </w:r>
          </w:p>
          <w:p w:rsidR="006F3634" w:rsidRPr="006F3634" w:rsidRDefault="006F3634" w:rsidP="007E2E22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 разделе 18 «Реализация дополнительных общеразвивающих программ» указаны допустимые (возможные) отклонения от установленных показателей объема муниципальных услуг 5 процентов, вместо установленного Положением N1491 равным нулю в части услуги, оказываемой с применением персонифицированного финансирования;</w:t>
            </w:r>
            <w:proofErr w:type="gramEnd"/>
          </w:p>
          <w:p w:rsidR="006F3634" w:rsidRPr="006F3634" w:rsidRDefault="006F3634" w:rsidP="007E2E22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не указаны наименование показателей характеризующие содержание муниципальной работы, условия (формы) выполнения работы согласно общероссийскими базовыми перечнями муниципальных услуг в табличной части пунктов 3.2 каждого раздела части I муниципального задания N12;</w:t>
            </w:r>
          </w:p>
          <w:p w:rsidR="0069435F" w:rsidRPr="006F3634" w:rsidRDefault="006F3634" w:rsidP="008533C2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не уточнено муниципальное задание в соответствии с указанными в предварительном отчете показателями объема по 2 (двум) услугам: «Реализация основных общеобразовательных программ среднего общего образования», </w:t>
            </w:r>
            <w:r w:rsidRPr="006F3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программ», значение которых меньше показателей, установленных в муниципальном задании, в результате бездействие ответственных должных лиц Управления образования, что повлекло невыполнение муниципального задания за 2023 год.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6E0473" w:rsidTr="005876FF">
        <w:trPr>
          <w:gridAfter w:val="1"/>
          <w:wAfter w:w="25" w:type="dxa"/>
          <w:trHeight w:val="2555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A53880" w:rsidRDefault="00115C5C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5C5C" w:rsidRPr="00553419" w:rsidRDefault="00553419" w:rsidP="005876FF">
            <w:pPr>
              <w:ind w:left="142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3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нарушение подпункта 13 пункта 1 статьи 158 БК РФ, пункта 5 статьи 69.2 БК РФ, пункта 44 Положения N1491 Отчеты о выполнении муниципального задания за 1,2 кварталы и предварительный отчет Учреждением представлялись, а Учредителем принимались несвоевременно - 10.04.2023, 10.07.2023 и  15.12.2023 соответственно при установленном в муниципальном задании N12 сроке его представления Учредителю до 10 числа месяца, следующего за отчетным кварталом</w:t>
            </w:r>
            <w:proofErr w:type="gramEnd"/>
            <w:r w:rsidRPr="00553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до 15 декабря отчетного года (крайний срок 07.04.2023, 07.07.2023, 14.12.2023 соответственно), т.е. с опозданием от 1 до 3 дней.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6E0473" w:rsidRDefault="00115C5C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BE0" w:rsidRPr="006E0473" w:rsidTr="005876FF">
        <w:trPr>
          <w:gridAfter w:val="1"/>
          <w:wAfter w:w="25" w:type="dxa"/>
          <w:cantSplit/>
          <w:trHeight w:hRule="exact" w:val="634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A5BE0" w:rsidRPr="006E0473" w:rsidRDefault="00391A05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BE0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53419" w:rsidRPr="00553419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нарушение подпункта 13 пункта 1 статьи 158 БК РФ, пункта 3 статьи 69.2 БК РФ, пункта 5 статьи 69.2 БК РФ, пунктов 42, 44 Положения N1491: </w:t>
            </w:r>
          </w:p>
          <w:p w:rsidR="00553419" w:rsidRPr="00553419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отчеты о выполнении муниципального задания за 2023 год по 9 муниципальным услугам формировались не в соответствии с муниципальным заданием и общероссийскими базовыми (отраслевыми) перечнями (классификаторами) государственных и муниципальных услуг (разделы Отчета 1-6,8,11,16);</w:t>
            </w:r>
          </w:p>
          <w:p w:rsidR="00553419" w:rsidRPr="00553419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отчеты о выполнении муниципального задания за 1 и 2 кварталы 2023, предварительный отчет представлялись Учреждением несвоевременно (с опозданием от 1 до 3 дней);</w:t>
            </w:r>
          </w:p>
          <w:p w:rsidR="00553419" w:rsidRPr="00553419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 отчете о выполнении муниципального задания за 2023 год показатели объема оказанных муниципальных услуг не соответствуют фактическим вследствие некорректного его заполнения, ошибок по 8 муниципальным услугам (в Отчете разделы 2,7,8,11,12-ые,15,18);</w:t>
            </w:r>
          </w:p>
          <w:p w:rsidR="00553419" w:rsidRPr="00553419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невыполнение в случае не достижения (превышения допустимого (возможного) отклонения 5 процентов) показателей муниципального задания, характеризующих объем оказываемых муниципальных услуг: «Реализация основных общеобразовательных программ среднего общего образования» на 27 человек, «Реализация дополнительных общеразвивающих программ» на 3 390 человеко-часов;</w:t>
            </w:r>
          </w:p>
          <w:p w:rsidR="006E0473" w:rsidRPr="00A53880" w:rsidRDefault="00553419" w:rsidP="00553419">
            <w:pPr>
              <w:suppressAutoHyphens/>
              <w:spacing w:after="0" w:line="240" w:lineRule="auto"/>
              <w:ind w:left="142" w:right="12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Управлением образования, как главным распорядителем бюджетных средств, </w:t>
            </w:r>
            <w:proofErr w:type="gramStart"/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34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выполнением Учреждением муниципального задания осуществлялся недолжным образом.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A5BE0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BE0" w:rsidRPr="006E0473" w:rsidRDefault="00BA5BE0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473" w:rsidRPr="006E0473" w:rsidTr="005876FF">
        <w:trPr>
          <w:gridAfter w:val="1"/>
          <w:wAfter w:w="25" w:type="dxa"/>
          <w:cantSplit/>
          <w:trHeight w:hRule="exact" w:val="3985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3511B1" w:rsidRDefault="003511B1" w:rsidP="003511B1">
            <w:pPr>
              <w:suppressAutoHyphens/>
              <w:spacing w:after="0" w:line="240" w:lineRule="auto"/>
              <w:ind w:left="142" w:right="12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нарушение пункта 1 статьи 78.1, пункта 4 статьи 69.2 БК РФ, пункта 10 Положения N1491, пункта 2 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Постановления Администрации городского округа Клин от 28.12.2018 N3046 «Об утверждении Порядка определения объема и условий предоставления муниципальным бюджетным и автономным учреждениям субсидий из бюджета городского округа Клин на финансовое обеспечение на выполнение муниципального задания на оказание муниципальных услуг (выполнение работ), возврата остатков</w:t>
            </w:r>
            <w:proofErr w:type="gramEnd"/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таких субсидий» (с изменениями, утвержденными постановлением Администрации городского округа Клин от 09.09.2020 N1390) (далее - Порядок  N3046),</w:t>
            </w:r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 образования не соблюден порядок определения объема и предоставления субсидии на финансовое обеспечение выполнения муниципального задания, а именно дополнительное Соглашение о предоставлении субсидии от 22.12.2023 N40/6 заключено ранее внесенных изменений в расчет нормативных затрат, утвержденных приказом Управления образования от 29.12.2023 N229-4/О.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E0473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E0473" w:rsidRPr="006E0473" w:rsidRDefault="006E0473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473" w:rsidRPr="006E0473" w:rsidTr="005876FF">
        <w:trPr>
          <w:gridAfter w:val="1"/>
          <w:wAfter w:w="25" w:type="dxa"/>
          <w:cantSplit/>
          <w:trHeight w:hRule="exact" w:val="2007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3511B1" w:rsidRDefault="003511B1" w:rsidP="005876FF">
            <w:pPr>
              <w:ind w:left="142" w:right="12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нарушение пункта 1 статьи 158 БК РФ, пункта 20 Порядка N3046, пункта 4.1.8 Соглашения N40 Управлением образования не приняты меры, обеспечивающие перечисление Учреждением в установленный срок средств субсидии на выполнение муниципального задания в сумме 288 653,89 рубля, а именно средства субсидии перечислены в бюджет городского округа Клин с нарушением срока на 19 рабочих дней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E0473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E0473" w:rsidRPr="006E0473" w:rsidRDefault="006E0473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E38" w:rsidRPr="006E0473" w:rsidTr="005876FF">
        <w:trPr>
          <w:gridAfter w:val="1"/>
          <w:wAfter w:w="25" w:type="dxa"/>
          <w:cantSplit/>
          <w:trHeight w:hRule="exact" w:val="2526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506E38" w:rsidRDefault="00506E38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11B1" w:rsidRPr="003511B1" w:rsidRDefault="003511B1" w:rsidP="005876FF">
            <w:pPr>
              <w:suppressAutoHyphens/>
              <w:spacing w:after="0" w:line="240" w:lineRule="auto"/>
              <w:ind w:left="142" w:right="127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нарушение пункта 8 статьи 37, пункта 3 статьи 41 Федерального закона от 06.10.2003 N 131-ФЗ "Об общих принципах организации местного самоуправления в Российской Федерации", пункта 5 статьи 39 Устава городского округа Клин Московской области (принят решением Совета депутатов городского округа Клин Московской области от 14.05.2018 N4/13, Положение об Управлении образования Администрации городского округа Клин, действующее в проверяемом периоде</w:t>
            </w:r>
            <w:proofErr w:type="gramEnd"/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утверждено постановлением Администрации городского округа Клин от 27.02.2018 N4, а следовало - решением Совета депутатов.</w:t>
            </w:r>
          </w:p>
          <w:p w:rsidR="00506E38" w:rsidRPr="00506E38" w:rsidRDefault="00506E38" w:rsidP="005876F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06E38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06E38" w:rsidRPr="006E0473" w:rsidRDefault="00506E38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E38" w:rsidRPr="003511B1" w:rsidTr="005876FF">
        <w:trPr>
          <w:gridAfter w:val="1"/>
          <w:wAfter w:w="25" w:type="dxa"/>
          <w:cantSplit/>
          <w:trHeight w:hRule="exact" w:val="2535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506E38" w:rsidRPr="003511B1" w:rsidRDefault="00506E38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11B1" w:rsidRPr="003511B1" w:rsidRDefault="003511B1" w:rsidP="005876FF">
            <w:pPr>
              <w:suppressAutoHyphens/>
              <w:spacing w:after="0" w:line="240" w:lineRule="auto"/>
              <w:ind w:left="142" w:right="127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нарушение подпункта 13 пункта 1 статьи 158 БК РФ в Положения от 27.02.2018 N4, от 31.08.2023 N4/21 включены полномочия Управления образования по утверждению Плана ФХД муниципальных учреждений, что противоречит пункту 4.1. 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Постановления Администрации городского округа Клин от 24.12.2019 N2758 «Об утверждении порядка составления и утверждения плана финансово-хозяйственной деятельности муниципальных учреждений городского округа Клин» (с изменениями, утвержденными постановлениями Администрации городского округа Клин от 19.03.2020 N437, 08.07.2020 N980, 31.05.2021 N933, 13.05.2022 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N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804, от 15.12.2022 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N</w:t>
            </w:r>
            <w:r w:rsidRPr="003511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2348)</w:t>
            </w:r>
            <w:r w:rsidRPr="00351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06E38" w:rsidRPr="003511B1" w:rsidRDefault="00506E38" w:rsidP="005876F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06E38" w:rsidRPr="003511B1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06E38" w:rsidRPr="003511B1" w:rsidRDefault="00506E38" w:rsidP="007E2E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gridAfter w:val="1"/>
          <w:wAfter w:w="25" w:type="dxa"/>
          <w:cantSplit/>
          <w:trHeight w:hRule="exact" w:val="285"/>
        </w:trPr>
        <w:tc>
          <w:tcPr>
            <w:tcW w:w="9073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6E0473" w:rsidRDefault="00355F91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F32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6E0473" w:rsidRDefault="00D843D1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6E0473" w:rsidRDefault="00D843D1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6E0473" w:rsidRDefault="00D843D1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5876FF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876FF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7E2E2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6E0473" w:rsidRDefault="00B0120E" w:rsidP="007E2E22">
      <w:pPr>
        <w:tabs>
          <w:tab w:val="left" w:pos="709"/>
          <w:tab w:val="left" w:pos="111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120E" w:rsidRPr="006E0473" w:rsidSect="005876FF">
      <w:footerReference w:type="default" r:id="rId9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FF" w:rsidRDefault="005876FF" w:rsidP="001C2B8A">
      <w:pPr>
        <w:spacing w:after="0" w:line="240" w:lineRule="auto"/>
      </w:pPr>
      <w:r>
        <w:separator/>
      </w:r>
    </w:p>
  </w:endnote>
  <w:endnote w:type="continuationSeparator" w:id="0">
    <w:p w:rsidR="005876FF" w:rsidRDefault="005876FF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742826"/>
      <w:docPartObj>
        <w:docPartGallery w:val="Page Numbers (Bottom of Page)"/>
        <w:docPartUnique/>
      </w:docPartObj>
    </w:sdtPr>
    <w:sdtContent>
      <w:p w:rsidR="005876FF" w:rsidRDefault="005876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503">
          <w:rPr>
            <w:noProof/>
          </w:rPr>
          <w:t>3</w:t>
        </w:r>
        <w:r>
          <w:fldChar w:fldCharType="end"/>
        </w:r>
      </w:p>
    </w:sdtContent>
  </w:sdt>
  <w:p w:rsidR="005876FF" w:rsidRDefault="005876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FF" w:rsidRDefault="005876FF" w:rsidP="001C2B8A">
      <w:pPr>
        <w:spacing w:after="0" w:line="240" w:lineRule="auto"/>
      </w:pPr>
      <w:r>
        <w:separator/>
      </w:r>
    </w:p>
  </w:footnote>
  <w:footnote w:type="continuationSeparator" w:id="0">
    <w:p w:rsidR="005876FF" w:rsidRDefault="005876FF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B63D1"/>
    <w:multiLevelType w:val="multilevel"/>
    <w:tmpl w:val="1C1A9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E1D6A"/>
    <w:rsid w:val="000E6380"/>
    <w:rsid w:val="000F064E"/>
    <w:rsid w:val="000F3195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2DE5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178C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1F2B48"/>
    <w:rsid w:val="001F4271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C6934"/>
    <w:rsid w:val="002E073F"/>
    <w:rsid w:val="002E1CC2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1B1"/>
    <w:rsid w:val="003517C8"/>
    <w:rsid w:val="00353FBF"/>
    <w:rsid w:val="00355F91"/>
    <w:rsid w:val="00357AAC"/>
    <w:rsid w:val="003756FF"/>
    <w:rsid w:val="00377540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085A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1DE1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06E38"/>
    <w:rsid w:val="00521895"/>
    <w:rsid w:val="005332FE"/>
    <w:rsid w:val="0054250A"/>
    <w:rsid w:val="00543E3A"/>
    <w:rsid w:val="00551AC8"/>
    <w:rsid w:val="00553419"/>
    <w:rsid w:val="005558FC"/>
    <w:rsid w:val="00555DD7"/>
    <w:rsid w:val="00563FEA"/>
    <w:rsid w:val="00564719"/>
    <w:rsid w:val="00567648"/>
    <w:rsid w:val="00572186"/>
    <w:rsid w:val="00574086"/>
    <w:rsid w:val="00577131"/>
    <w:rsid w:val="005823F7"/>
    <w:rsid w:val="00582D24"/>
    <w:rsid w:val="005837E5"/>
    <w:rsid w:val="005876FF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276E"/>
    <w:rsid w:val="0062306F"/>
    <w:rsid w:val="00623286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35B7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9435F"/>
    <w:rsid w:val="006A1E4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E0473"/>
    <w:rsid w:val="006F2923"/>
    <w:rsid w:val="006F2D3F"/>
    <w:rsid w:val="006F3634"/>
    <w:rsid w:val="006F3892"/>
    <w:rsid w:val="006F4321"/>
    <w:rsid w:val="007100B3"/>
    <w:rsid w:val="00711A44"/>
    <w:rsid w:val="00717C24"/>
    <w:rsid w:val="007220CE"/>
    <w:rsid w:val="00722194"/>
    <w:rsid w:val="00723316"/>
    <w:rsid w:val="007262F2"/>
    <w:rsid w:val="0072719A"/>
    <w:rsid w:val="007406FE"/>
    <w:rsid w:val="007412A9"/>
    <w:rsid w:val="007424C6"/>
    <w:rsid w:val="00752739"/>
    <w:rsid w:val="0075666B"/>
    <w:rsid w:val="00764884"/>
    <w:rsid w:val="00764E5D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2E22"/>
    <w:rsid w:val="007E57BB"/>
    <w:rsid w:val="007E59C3"/>
    <w:rsid w:val="007E6873"/>
    <w:rsid w:val="007F1568"/>
    <w:rsid w:val="00805335"/>
    <w:rsid w:val="008062E2"/>
    <w:rsid w:val="0081386C"/>
    <w:rsid w:val="008202A5"/>
    <w:rsid w:val="00826C6C"/>
    <w:rsid w:val="0082705D"/>
    <w:rsid w:val="00827C7B"/>
    <w:rsid w:val="00834993"/>
    <w:rsid w:val="0084608E"/>
    <w:rsid w:val="00846F57"/>
    <w:rsid w:val="0084775B"/>
    <w:rsid w:val="008533C2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B5747"/>
    <w:rsid w:val="008C1C56"/>
    <w:rsid w:val="008C4F7F"/>
    <w:rsid w:val="008C5B70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42625"/>
    <w:rsid w:val="00946E16"/>
    <w:rsid w:val="00952A1D"/>
    <w:rsid w:val="00956895"/>
    <w:rsid w:val="0095767E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6431"/>
    <w:rsid w:val="00A17D68"/>
    <w:rsid w:val="00A20BD4"/>
    <w:rsid w:val="00A36B7F"/>
    <w:rsid w:val="00A373CD"/>
    <w:rsid w:val="00A41A19"/>
    <w:rsid w:val="00A434AF"/>
    <w:rsid w:val="00A47406"/>
    <w:rsid w:val="00A53880"/>
    <w:rsid w:val="00A5419E"/>
    <w:rsid w:val="00A55293"/>
    <w:rsid w:val="00A556AE"/>
    <w:rsid w:val="00A55E40"/>
    <w:rsid w:val="00A658F5"/>
    <w:rsid w:val="00A7282F"/>
    <w:rsid w:val="00A8020D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583E"/>
    <w:rsid w:val="00AD7CB6"/>
    <w:rsid w:val="00AE2DF9"/>
    <w:rsid w:val="00AF1F9B"/>
    <w:rsid w:val="00AF3FC0"/>
    <w:rsid w:val="00AF7F93"/>
    <w:rsid w:val="00B0120E"/>
    <w:rsid w:val="00B05C2D"/>
    <w:rsid w:val="00B063CE"/>
    <w:rsid w:val="00B11BFD"/>
    <w:rsid w:val="00B14B8B"/>
    <w:rsid w:val="00B2313B"/>
    <w:rsid w:val="00B27D49"/>
    <w:rsid w:val="00B32A46"/>
    <w:rsid w:val="00B34089"/>
    <w:rsid w:val="00B34503"/>
    <w:rsid w:val="00B45E99"/>
    <w:rsid w:val="00B54EE7"/>
    <w:rsid w:val="00B567B5"/>
    <w:rsid w:val="00B64B6D"/>
    <w:rsid w:val="00B650F5"/>
    <w:rsid w:val="00B7278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88F"/>
    <w:rsid w:val="00BB690B"/>
    <w:rsid w:val="00BC47D6"/>
    <w:rsid w:val="00BC7934"/>
    <w:rsid w:val="00BE0BCE"/>
    <w:rsid w:val="00BE7EE6"/>
    <w:rsid w:val="00BF20C8"/>
    <w:rsid w:val="00BF3143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20D45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17B4B"/>
    <w:rsid w:val="00F20498"/>
    <w:rsid w:val="00F233BF"/>
    <w:rsid w:val="00F25548"/>
    <w:rsid w:val="00F3141F"/>
    <w:rsid w:val="00F31E3F"/>
    <w:rsid w:val="00F32B36"/>
    <w:rsid w:val="00F33076"/>
    <w:rsid w:val="00F336D5"/>
    <w:rsid w:val="00F341C7"/>
    <w:rsid w:val="00F412C0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17ED"/>
    <w:rsid w:val="00FD608A"/>
    <w:rsid w:val="00FD6B24"/>
    <w:rsid w:val="00FE74E4"/>
    <w:rsid w:val="00FE7BDE"/>
    <w:rsid w:val="00FF26E4"/>
    <w:rsid w:val="00FF2D34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A556AE"/>
    <w:pPr>
      <w:spacing w:after="60" w:line="240" w:lineRule="auto"/>
      <w:ind w:firstLine="284"/>
      <w:jc w:val="center"/>
    </w:pPr>
    <w:rPr>
      <w:rFonts w:ascii="Cambria" w:eastAsia="Times New Roman" w:hAnsi="Cambria" w:cs="Cambria"/>
      <w:sz w:val="24"/>
      <w:szCs w:val="24"/>
      <w:lang w:val="x-none" w:eastAsia="zh-CN"/>
    </w:rPr>
  </w:style>
  <w:style w:type="character" w:customStyle="1" w:styleId="ab">
    <w:name w:val="Подзаголовок Знак"/>
    <w:basedOn w:val="a0"/>
    <w:link w:val="aa"/>
    <w:rsid w:val="00A556AE"/>
    <w:rPr>
      <w:rFonts w:ascii="Cambria" w:eastAsia="Times New Roman" w:hAnsi="Cambria" w:cs="Cambria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A556AE"/>
    <w:pPr>
      <w:spacing w:after="60" w:line="240" w:lineRule="auto"/>
      <w:ind w:firstLine="284"/>
      <w:jc w:val="center"/>
    </w:pPr>
    <w:rPr>
      <w:rFonts w:ascii="Cambria" w:eastAsia="Times New Roman" w:hAnsi="Cambria" w:cs="Cambria"/>
      <w:sz w:val="24"/>
      <w:szCs w:val="24"/>
      <w:lang w:val="x-none" w:eastAsia="zh-CN"/>
    </w:rPr>
  </w:style>
  <w:style w:type="character" w:customStyle="1" w:styleId="ab">
    <w:name w:val="Подзаголовок Знак"/>
    <w:basedOn w:val="a0"/>
    <w:link w:val="aa"/>
    <w:rsid w:val="00A556AE"/>
    <w:rPr>
      <w:rFonts w:ascii="Cambria" w:eastAsia="Times New Roman" w:hAnsi="Cambria" w:cs="Cambria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5536-B431-4F3A-8807-B37B8294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92</cp:revision>
  <cp:lastPrinted>2023-03-07T06:15:00Z</cp:lastPrinted>
  <dcterms:created xsi:type="dcterms:W3CDTF">2023-05-22T06:29:00Z</dcterms:created>
  <dcterms:modified xsi:type="dcterms:W3CDTF">2024-12-24T12:57:00Z</dcterms:modified>
</cp:coreProperties>
</file>